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338" w:rsidRPr="001A19AA" w:rsidRDefault="00343C51" w:rsidP="00343C51">
      <w:pPr>
        <w:pStyle w:val="Tytu"/>
        <w:ind w:firstLine="0"/>
        <w:jc w:val="left"/>
        <w:rPr>
          <w:rFonts w:eastAsia="Times New Roman"/>
          <w:b/>
          <w:color w:val="00B050"/>
          <w:u w:val="single"/>
        </w:rPr>
      </w:pPr>
      <w:r w:rsidRPr="001A19AA">
        <w:rPr>
          <w:rFonts w:eastAsia="Times New Roman"/>
          <w:b/>
          <w:color w:val="00B050"/>
          <w:u w:val="single"/>
        </w:rPr>
        <w:t>MATERIAŁ DO KONSULTACJI</w:t>
      </w:r>
    </w:p>
    <w:p w:rsidR="00A26338" w:rsidRDefault="00A26338" w:rsidP="00A26338">
      <w:pPr>
        <w:pStyle w:val="Tytu"/>
        <w:ind w:firstLine="0"/>
        <w:jc w:val="center"/>
        <w:rPr>
          <w:rFonts w:eastAsia="Times New Roman"/>
          <w:b/>
        </w:rPr>
      </w:pPr>
    </w:p>
    <w:p w:rsidR="00A26338" w:rsidRDefault="00A26338" w:rsidP="00A26338">
      <w:pPr>
        <w:pStyle w:val="Tytu"/>
        <w:ind w:firstLine="0"/>
        <w:jc w:val="center"/>
        <w:rPr>
          <w:rFonts w:eastAsia="Times New Roman"/>
          <w:b/>
        </w:rPr>
      </w:pPr>
    </w:p>
    <w:p w:rsidR="00A26338" w:rsidRDefault="00A26338" w:rsidP="00A26338">
      <w:pPr>
        <w:pStyle w:val="Tytu"/>
        <w:ind w:firstLine="0"/>
        <w:jc w:val="center"/>
        <w:rPr>
          <w:rFonts w:eastAsia="Times New Roman"/>
          <w:b/>
        </w:rPr>
      </w:pPr>
    </w:p>
    <w:p w:rsidR="00A26338" w:rsidRDefault="00A26338" w:rsidP="00A26338">
      <w:pPr>
        <w:pStyle w:val="Tytu"/>
        <w:ind w:firstLine="0"/>
        <w:jc w:val="center"/>
        <w:rPr>
          <w:rFonts w:eastAsia="Times New Roman"/>
          <w:b/>
        </w:rPr>
      </w:pPr>
    </w:p>
    <w:p w:rsidR="00A26338" w:rsidRDefault="00A26338" w:rsidP="00A26338">
      <w:pPr>
        <w:pStyle w:val="Tytu"/>
        <w:ind w:firstLine="0"/>
        <w:jc w:val="center"/>
        <w:rPr>
          <w:rFonts w:eastAsia="Times New Roman"/>
          <w:b/>
        </w:rPr>
      </w:pPr>
    </w:p>
    <w:p w:rsidR="00A26338" w:rsidRPr="00A26338" w:rsidRDefault="00C85742" w:rsidP="00A26338">
      <w:pPr>
        <w:pStyle w:val="Tytu"/>
        <w:ind w:firstLine="0"/>
        <w:jc w:val="center"/>
        <w:rPr>
          <w:rFonts w:eastAsia="Times New Roman"/>
          <w:b/>
        </w:rPr>
      </w:pPr>
      <w:r w:rsidRPr="00A26338">
        <w:rPr>
          <w:rFonts w:eastAsia="Times New Roman"/>
          <w:b/>
        </w:rPr>
        <w:t xml:space="preserve">UDZIELANIE ZAMÓWIEŃ </w:t>
      </w:r>
      <w:r w:rsidR="00A26338" w:rsidRPr="00A26338">
        <w:rPr>
          <w:rFonts w:eastAsia="Times New Roman"/>
          <w:b/>
        </w:rPr>
        <w:t>PUBLICZNYCH</w:t>
      </w:r>
    </w:p>
    <w:p w:rsidR="00A26338" w:rsidRPr="00A26338" w:rsidRDefault="00C85742" w:rsidP="00A26338">
      <w:pPr>
        <w:pStyle w:val="Tytu"/>
        <w:ind w:firstLine="0"/>
        <w:jc w:val="center"/>
        <w:rPr>
          <w:rFonts w:eastAsia="Times New Roman"/>
          <w:b/>
        </w:rPr>
      </w:pPr>
      <w:r w:rsidRPr="00A26338">
        <w:rPr>
          <w:rFonts w:eastAsia="Times New Roman"/>
          <w:b/>
        </w:rPr>
        <w:t xml:space="preserve">NA DOSTAWĘ ZESTAWÓW KOMPUTEROWYCH </w:t>
      </w:r>
    </w:p>
    <w:p w:rsidR="00C85742" w:rsidRPr="00A26338" w:rsidRDefault="00C85742" w:rsidP="00A26338">
      <w:pPr>
        <w:pStyle w:val="Tytu"/>
        <w:ind w:firstLine="0"/>
        <w:jc w:val="center"/>
        <w:rPr>
          <w:rFonts w:eastAsia="Times New Roman"/>
          <w:b/>
          <w:u w:val="single"/>
        </w:rPr>
      </w:pPr>
      <w:r w:rsidRPr="00A26338">
        <w:rPr>
          <w:rFonts w:eastAsia="Times New Roman"/>
          <w:b/>
          <w:u w:val="single"/>
        </w:rPr>
        <w:t>REKOMENDACJE</w:t>
      </w:r>
    </w:p>
    <w:p w:rsidR="00C85742" w:rsidRDefault="00C85742" w:rsidP="00C85742">
      <w:pPr>
        <w:spacing w:line="354" w:lineRule="auto"/>
        <w:ind w:left="640" w:right="6"/>
        <w:jc w:val="center"/>
        <w:rPr>
          <w:rFonts w:ascii="Arial" w:eastAsia="Times New Roman" w:hAnsi="Arial" w:cs="Arial"/>
          <w:b/>
          <w:bCs/>
          <w:sz w:val="36"/>
          <w:szCs w:val="36"/>
          <w:u w:val="single"/>
        </w:rPr>
      </w:pPr>
    </w:p>
    <w:p w:rsidR="00C85742" w:rsidRDefault="00C85742" w:rsidP="00C85742">
      <w:pPr>
        <w:spacing w:line="354" w:lineRule="auto"/>
        <w:ind w:left="640" w:right="6"/>
        <w:jc w:val="center"/>
        <w:rPr>
          <w:rFonts w:ascii="Arial" w:eastAsia="Times New Roman" w:hAnsi="Arial" w:cs="Arial"/>
          <w:b/>
          <w:bCs/>
          <w:sz w:val="36"/>
          <w:szCs w:val="36"/>
          <w:u w:val="single"/>
        </w:rPr>
      </w:pPr>
    </w:p>
    <w:p w:rsidR="00C85742" w:rsidRDefault="00C85742" w:rsidP="00A26338">
      <w:pPr>
        <w:spacing w:line="354" w:lineRule="auto"/>
        <w:ind w:right="6" w:firstLine="0"/>
        <w:jc w:val="center"/>
        <w:rPr>
          <w:rFonts w:ascii="Arial" w:eastAsia="Times New Roman" w:hAnsi="Arial" w:cs="Arial"/>
          <w:b/>
          <w:bCs/>
          <w:sz w:val="36"/>
          <w:szCs w:val="36"/>
          <w:u w:val="single"/>
        </w:rPr>
      </w:pPr>
    </w:p>
    <w:p w:rsidR="00C85742" w:rsidRPr="00C85742" w:rsidRDefault="00C85742" w:rsidP="00A26338">
      <w:pPr>
        <w:spacing w:line="354" w:lineRule="auto"/>
        <w:ind w:right="6" w:firstLine="0"/>
        <w:jc w:val="center"/>
        <w:rPr>
          <w:rFonts w:ascii="Arial" w:eastAsia="Times New Roman" w:hAnsi="Arial" w:cs="Arial"/>
          <w:bCs/>
          <w:sz w:val="28"/>
          <w:szCs w:val="36"/>
        </w:rPr>
      </w:pPr>
      <w:r w:rsidRPr="00C85742">
        <w:rPr>
          <w:rFonts w:ascii="Arial" w:eastAsia="Times New Roman" w:hAnsi="Arial" w:cs="Arial"/>
          <w:bCs/>
          <w:sz w:val="28"/>
          <w:szCs w:val="36"/>
        </w:rPr>
        <w:t>Urząd Zamówień Publicznych</w:t>
      </w:r>
    </w:p>
    <w:p w:rsidR="00C85742" w:rsidRDefault="00464CE5" w:rsidP="00A26338">
      <w:pPr>
        <w:spacing w:line="354" w:lineRule="auto"/>
        <w:ind w:right="6" w:firstLine="0"/>
        <w:jc w:val="center"/>
        <w:rPr>
          <w:rFonts w:ascii="Arial" w:eastAsia="Times New Roman" w:hAnsi="Arial" w:cs="Arial"/>
          <w:bCs/>
          <w:sz w:val="28"/>
          <w:szCs w:val="36"/>
        </w:rPr>
      </w:pPr>
      <w:r>
        <w:rPr>
          <w:rFonts w:ascii="Arial" w:eastAsia="Times New Roman" w:hAnsi="Arial" w:cs="Arial"/>
          <w:bCs/>
          <w:sz w:val="28"/>
          <w:szCs w:val="36"/>
        </w:rPr>
        <w:t xml:space="preserve">Styczeń 2021 </w:t>
      </w:r>
      <w:r w:rsidR="008F6D72">
        <w:rPr>
          <w:rFonts w:ascii="Arial" w:eastAsia="Times New Roman" w:hAnsi="Arial" w:cs="Arial"/>
          <w:bCs/>
          <w:sz w:val="28"/>
          <w:szCs w:val="36"/>
        </w:rPr>
        <w:br w:type="column"/>
      </w:r>
    </w:p>
    <w:sdt>
      <w:sdtPr>
        <w:rPr>
          <w:rFonts w:ascii="Times New Roman" w:eastAsiaTheme="minorEastAsia" w:hAnsi="Times New Roman" w:cs="Times New Roman"/>
          <w:color w:val="auto"/>
          <w:sz w:val="24"/>
          <w:szCs w:val="22"/>
        </w:rPr>
        <w:id w:val="317382940"/>
        <w:docPartObj>
          <w:docPartGallery w:val="Table of Contents"/>
          <w:docPartUnique/>
        </w:docPartObj>
      </w:sdtPr>
      <w:sdtEndPr>
        <w:rPr>
          <w:b/>
          <w:bCs/>
        </w:rPr>
      </w:sdtEndPr>
      <w:sdtContent>
        <w:p w:rsidR="008F6D72" w:rsidRDefault="008F6D72">
          <w:pPr>
            <w:pStyle w:val="Nagwekspisutreci"/>
          </w:pPr>
          <w:r>
            <w:t>Spis treści</w:t>
          </w:r>
        </w:p>
        <w:p w:rsidR="00871A84" w:rsidRDefault="00C04514">
          <w:pPr>
            <w:pStyle w:val="Spistreci1"/>
            <w:tabs>
              <w:tab w:val="left" w:pos="1320"/>
              <w:tab w:val="right" w:leader="dot" w:pos="9062"/>
            </w:tabs>
            <w:rPr>
              <w:rFonts w:asciiTheme="minorHAnsi" w:hAnsiTheme="minorHAnsi" w:cstheme="minorBidi"/>
              <w:noProof/>
              <w:sz w:val="22"/>
            </w:rPr>
          </w:pPr>
          <w:r>
            <w:fldChar w:fldCharType="begin"/>
          </w:r>
          <w:r w:rsidR="008F6D72">
            <w:instrText xml:space="preserve"> TOC \o "1-3" \h \z \u </w:instrText>
          </w:r>
          <w:r>
            <w:fldChar w:fldCharType="separate"/>
          </w:r>
          <w:hyperlink w:anchor="_Toc62214584" w:history="1">
            <w:r w:rsidR="00871A84" w:rsidRPr="00733CC2">
              <w:rPr>
                <w:rStyle w:val="Hipercze"/>
                <w:noProof/>
              </w:rPr>
              <w:t>1.</w:t>
            </w:r>
            <w:r w:rsidR="00871A84">
              <w:rPr>
                <w:rFonts w:asciiTheme="minorHAnsi" w:hAnsiTheme="minorHAnsi" w:cstheme="minorBidi"/>
                <w:noProof/>
                <w:sz w:val="22"/>
              </w:rPr>
              <w:tab/>
            </w:r>
            <w:r w:rsidR="00871A84" w:rsidRPr="00733CC2">
              <w:rPr>
                <w:rStyle w:val="Hipercze"/>
                <w:noProof/>
              </w:rPr>
              <w:t>Konstruowanie SWZ w sposób nieograniczający konkurencji</w:t>
            </w:r>
            <w:r w:rsidR="00871A84">
              <w:rPr>
                <w:noProof/>
                <w:webHidden/>
              </w:rPr>
              <w:tab/>
            </w:r>
            <w:r w:rsidR="00871A84">
              <w:rPr>
                <w:noProof/>
                <w:webHidden/>
              </w:rPr>
              <w:fldChar w:fldCharType="begin"/>
            </w:r>
            <w:r w:rsidR="00871A84">
              <w:rPr>
                <w:noProof/>
                <w:webHidden/>
              </w:rPr>
              <w:instrText xml:space="preserve"> PAGEREF _Toc62214584 \h </w:instrText>
            </w:r>
            <w:r w:rsidR="00871A84">
              <w:rPr>
                <w:noProof/>
                <w:webHidden/>
              </w:rPr>
            </w:r>
            <w:r w:rsidR="00871A84">
              <w:rPr>
                <w:noProof/>
                <w:webHidden/>
              </w:rPr>
              <w:fldChar w:fldCharType="separate"/>
            </w:r>
            <w:r w:rsidR="00871A84">
              <w:rPr>
                <w:noProof/>
                <w:webHidden/>
              </w:rPr>
              <w:t>4</w:t>
            </w:r>
            <w:r w:rsidR="00871A84">
              <w:rPr>
                <w:noProof/>
                <w:webHidden/>
              </w:rPr>
              <w:fldChar w:fldCharType="end"/>
            </w:r>
          </w:hyperlink>
        </w:p>
        <w:p w:rsidR="00871A84" w:rsidRDefault="001D2376">
          <w:pPr>
            <w:pStyle w:val="Spistreci2"/>
            <w:tabs>
              <w:tab w:val="left" w:pos="1540"/>
            </w:tabs>
            <w:rPr>
              <w:rFonts w:asciiTheme="minorHAnsi" w:hAnsiTheme="minorHAnsi" w:cstheme="minorBidi"/>
              <w:noProof/>
              <w:sz w:val="22"/>
            </w:rPr>
          </w:pPr>
          <w:hyperlink w:anchor="_Toc62214585" w:history="1">
            <w:r w:rsidR="00871A84" w:rsidRPr="00733CC2">
              <w:rPr>
                <w:rStyle w:val="Hipercze"/>
                <w:noProof/>
              </w:rPr>
              <w:t>1.1.</w:t>
            </w:r>
            <w:r w:rsidR="00871A84">
              <w:rPr>
                <w:rFonts w:asciiTheme="minorHAnsi" w:hAnsiTheme="minorHAnsi" w:cstheme="minorBidi"/>
                <w:noProof/>
                <w:sz w:val="22"/>
              </w:rPr>
              <w:tab/>
            </w:r>
            <w:r w:rsidR="00871A84" w:rsidRPr="00733CC2">
              <w:rPr>
                <w:rStyle w:val="Hipercze"/>
                <w:noProof/>
              </w:rPr>
              <w:t>Definicje urządzeń komputerowych</w:t>
            </w:r>
            <w:r w:rsidR="00871A84">
              <w:rPr>
                <w:noProof/>
                <w:webHidden/>
              </w:rPr>
              <w:tab/>
            </w:r>
            <w:r w:rsidR="00871A84">
              <w:rPr>
                <w:noProof/>
                <w:webHidden/>
              </w:rPr>
              <w:fldChar w:fldCharType="begin"/>
            </w:r>
            <w:r w:rsidR="00871A84">
              <w:rPr>
                <w:noProof/>
                <w:webHidden/>
              </w:rPr>
              <w:instrText xml:space="preserve"> PAGEREF _Toc62214585 \h </w:instrText>
            </w:r>
            <w:r w:rsidR="00871A84">
              <w:rPr>
                <w:noProof/>
                <w:webHidden/>
              </w:rPr>
            </w:r>
            <w:r w:rsidR="00871A84">
              <w:rPr>
                <w:noProof/>
                <w:webHidden/>
              </w:rPr>
              <w:fldChar w:fldCharType="separate"/>
            </w:r>
            <w:r w:rsidR="00871A84">
              <w:rPr>
                <w:noProof/>
                <w:webHidden/>
              </w:rPr>
              <w:t>4</w:t>
            </w:r>
            <w:r w:rsidR="00871A84">
              <w:rPr>
                <w:noProof/>
                <w:webHidden/>
              </w:rPr>
              <w:fldChar w:fldCharType="end"/>
            </w:r>
          </w:hyperlink>
        </w:p>
        <w:p w:rsidR="00871A84" w:rsidRDefault="001D2376">
          <w:pPr>
            <w:pStyle w:val="Spistreci2"/>
            <w:tabs>
              <w:tab w:val="left" w:pos="1540"/>
            </w:tabs>
            <w:rPr>
              <w:rFonts w:asciiTheme="minorHAnsi" w:hAnsiTheme="minorHAnsi" w:cstheme="minorBidi"/>
              <w:noProof/>
              <w:sz w:val="22"/>
            </w:rPr>
          </w:pPr>
          <w:hyperlink w:anchor="_Toc62214586" w:history="1">
            <w:r w:rsidR="00871A84" w:rsidRPr="00733CC2">
              <w:rPr>
                <w:rStyle w:val="Hipercze"/>
                <w:noProof/>
              </w:rPr>
              <w:t>1.2.</w:t>
            </w:r>
            <w:r w:rsidR="00871A84">
              <w:rPr>
                <w:rFonts w:asciiTheme="minorHAnsi" w:hAnsiTheme="minorHAnsi" w:cstheme="minorBidi"/>
                <w:noProof/>
                <w:sz w:val="22"/>
              </w:rPr>
              <w:tab/>
            </w:r>
            <w:r w:rsidR="00871A84" w:rsidRPr="00733CC2">
              <w:rPr>
                <w:rStyle w:val="Hipercze"/>
                <w:noProof/>
              </w:rPr>
              <w:t>Zasada ogólna opisu przedmiotu zamówienia na dostawę urządzeń komputerowych</w:t>
            </w:r>
            <w:r w:rsidR="00871A84">
              <w:rPr>
                <w:noProof/>
                <w:webHidden/>
              </w:rPr>
              <w:tab/>
            </w:r>
            <w:r w:rsidR="00871A84">
              <w:rPr>
                <w:noProof/>
                <w:webHidden/>
              </w:rPr>
              <w:fldChar w:fldCharType="begin"/>
            </w:r>
            <w:r w:rsidR="00871A84">
              <w:rPr>
                <w:noProof/>
                <w:webHidden/>
              </w:rPr>
              <w:instrText xml:space="preserve"> PAGEREF _Toc62214586 \h </w:instrText>
            </w:r>
            <w:r w:rsidR="00871A84">
              <w:rPr>
                <w:noProof/>
                <w:webHidden/>
              </w:rPr>
            </w:r>
            <w:r w:rsidR="00871A84">
              <w:rPr>
                <w:noProof/>
                <w:webHidden/>
              </w:rPr>
              <w:fldChar w:fldCharType="separate"/>
            </w:r>
            <w:r w:rsidR="00871A84">
              <w:rPr>
                <w:noProof/>
                <w:webHidden/>
              </w:rPr>
              <w:t>5</w:t>
            </w:r>
            <w:r w:rsidR="00871A84">
              <w:rPr>
                <w:noProof/>
                <w:webHidden/>
              </w:rPr>
              <w:fldChar w:fldCharType="end"/>
            </w:r>
          </w:hyperlink>
        </w:p>
        <w:p w:rsidR="00871A84" w:rsidRDefault="001D2376">
          <w:pPr>
            <w:pStyle w:val="Spistreci2"/>
            <w:tabs>
              <w:tab w:val="left" w:pos="1540"/>
            </w:tabs>
            <w:rPr>
              <w:rFonts w:asciiTheme="minorHAnsi" w:hAnsiTheme="minorHAnsi" w:cstheme="minorBidi"/>
              <w:noProof/>
              <w:sz w:val="22"/>
            </w:rPr>
          </w:pPr>
          <w:hyperlink w:anchor="_Toc62214587" w:history="1">
            <w:r w:rsidR="00871A84" w:rsidRPr="00733CC2">
              <w:rPr>
                <w:rStyle w:val="Hipercze"/>
                <w:noProof/>
              </w:rPr>
              <w:t>1.3.</w:t>
            </w:r>
            <w:r w:rsidR="00871A84">
              <w:rPr>
                <w:rFonts w:asciiTheme="minorHAnsi" w:hAnsiTheme="minorHAnsi" w:cstheme="minorBidi"/>
                <w:noProof/>
                <w:sz w:val="22"/>
              </w:rPr>
              <w:tab/>
            </w:r>
            <w:r w:rsidR="00871A84" w:rsidRPr="00733CC2">
              <w:rPr>
                <w:rStyle w:val="Hipercze"/>
                <w:noProof/>
              </w:rPr>
              <w:t>Podstawowe zasady opisu przedmiotu zamówienia</w:t>
            </w:r>
            <w:r w:rsidR="00871A84">
              <w:rPr>
                <w:noProof/>
                <w:webHidden/>
              </w:rPr>
              <w:tab/>
            </w:r>
            <w:r w:rsidR="00871A84">
              <w:rPr>
                <w:noProof/>
                <w:webHidden/>
              </w:rPr>
              <w:fldChar w:fldCharType="begin"/>
            </w:r>
            <w:r w:rsidR="00871A84">
              <w:rPr>
                <w:noProof/>
                <w:webHidden/>
              </w:rPr>
              <w:instrText xml:space="preserve"> PAGEREF _Toc62214587 \h </w:instrText>
            </w:r>
            <w:r w:rsidR="00871A84">
              <w:rPr>
                <w:noProof/>
                <w:webHidden/>
              </w:rPr>
            </w:r>
            <w:r w:rsidR="00871A84">
              <w:rPr>
                <w:noProof/>
                <w:webHidden/>
              </w:rPr>
              <w:fldChar w:fldCharType="separate"/>
            </w:r>
            <w:r w:rsidR="00871A84">
              <w:rPr>
                <w:noProof/>
                <w:webHidden/>
              </w:rPr>
              <w:t>6</w:t>
            </w:r>
            <w:r w:rsidR="00871A84">
              <w:rPr>
                <w:noProof/>
                <w:webHidden/>
              </w:rPr>
              <w:fldChar w:fldCharType="end"/>
            </w:r>
          </w:hyperlink>
        </w:p>
        <w:p w:rsidR="00871A84" w:rsidRDefault="001D2376">
          <w:pPr>
            <w:pStyle w:val="Spistreci2"/>
            <w:tabs>
              <w:tab w:val="left" w:pos="1540"/>
            </w:tabs>
            <w:rPr>
              <w:rFonts w:asciiTheme="minorHAnsi" w:hAnsiTheme="minorHAnsi" w:cstheme="minorBidi"/>
              <w:noProof/>
              <w:sz w:val="22"/>
            </w:rPr>
          </w:pPr>
          <w:hyperlink w:anchor="_Toc62214588" w:history="1">
            <w:r w:rsidR="00871A84" w:rsidRPr="00733CC2">
              <w:rPr>
                <w:rStyle w:val="Hipercze"/>
                <w:noProof/>
              </w:rPr>
              <w:t>1.4.</w:t>
            </w:r>
            <w:r w:rsidR="00871A84">
              <w:rPr>
                <w:rFonts w:asciiTheme="minorHAnsi" w:hAnsiTheme="minorHAnsi" w:cstheme="minorBidi"/>
                <w:noProof/>
                <w:sz w:val="22"/>
              </w:rPr>
              <w:tab/>
            </w:r>
            <w:r w:rsidR="00871A84" w:rsidRPr="00733CC2">
              <w:rPr>
                <w:rStyle w:val="Hipercze"/>
                <w:noProof/>
              </w:rPr>
              <w:t>Wymagania dotyczące stosowanych testów</w:t>
            </w:r>
            <w:r w:rsidR="00871A84">
              <w:rPr>
                <w:noProof/>
                <w:webHidden/>
              </w:rPr>
              <w:tab/>
            </w:r>
            <w:r w:rsidR="00871A84">
              <w:rPr>
                <w:noProof/>
                <w:webHidden/>
              </w:rPr>
              <w:fldChar w:fldCharType="begin"/>
            </w:r>
            <w:r w:rsidR="00871A84">
              <w:rPr>
                <w:noProof/>
                <w:webHidden/>
              </w:rPr>
              <w:instrText xml:space="preserve"> PAGEREF _Toc62214588 \h </w:instrText>
            </w:r>
            <w:r w:rsidR="00871A84">
              <w:rPr>
                <w:noProof/>
                <w:webHidden/>
              </w:rPr>
            </w:r>
            <w:r w:rsidR="00871A84">
              <w:rPr>
                <w:noProof/>
                <w:webHidden/>
              </w:rPr>
              <w:fldChar w:fldCharType="separate"/>
            </w:r>
            <w:r w:rsidR="00871A84">
              <w:rPr>
                <w:noProof/>
                <w:webHidden/>
              </w:rPr>
              <w:t>9</w:t>
            </w:r>
            <w:r w:rsidR="00871A84">
              <w:rPr>
                <w:noProof/>
                <w:webHidden/>
              </w:rPr>
              <w:fldChar w:fldCharType="end"/>
            </w:r>
          </w:hyperlink>
        </w:p>
        <w:p w:rsidR="00871A84" w:rsidRDefault="001D2376">
          <w:pPr>
            <w:pStyle w:val="Spistreci2"/>
            <w:tabs>
              <w:tab w:val="left" w:pos="1540"/>
            </w:tabs>
            <w:rPr>
              <w:rFonts w:asciiTheme="minorHAnsi" w:hAnsiTheme="minorHAnsi" w:cstheme="minorBidi"/>
              <w:noProof/>
              <w:sz w:val="22"/>
            </w:rPr>
          </w:pPr>
          <w:hyperlink w:anchor="_Toc62214589" w:history="1">
            <w:r w:rsidR="00871A84" w:rsidRPr="00733CC2">
              <w:rPr>
                <w:rStyle w:val="Hipercze"/>
                <w:noProof/>
              </w:rPr>
              <w:t>1.5.</w:t>
            </w:r>
            <w:r w:rsidR="00871A84">
              <w:rPr>
                <w:rFonts w:asciiTheme="minorHAnsi" w:hAnsiTheme="minorHAnsi" w:cstheme="minorBidi"/>
                <w:noProof/>
                <w:sz w:val="22"/>
              </w:rPr>
              <w:tab/>
            </w:r>
            <w:r w:rsidR="00871A84" w:rsidRPr="00733CC2">
              <w:rPr>
                <w:rStyle w:val="Hipercze"/>
                <w:noProof/>
              </w:rPr>
              <w:t>Zakup urządzeń komputerowych, a zakup licencji na oprogramowanie użytkowane na nabywanych urządzeniach</w:t>
            </w:r>
            <w:r w:rsidR="00871A84">
              <w:rPr>
                <w:noProof/>
                <w:webHidden/>
              </w:rPr>
              <w:tab/>
            </w:r>
            <w:r w:rsidR="00871A84">
              <w:rPr>
                <w:noProof/>
                <w:webHidden/>
              </w:rPr>
              <w:fldChar w:fldCharType="begin"/>
            </w:r>
            <w:r w:rsidR="00871A84">
              <w:rPr>
                <w:noProof/>
                <w:webHidden/>
              </w:rPr>
              <w:instrText xml:space="preserve"> PAGEREF _Toc62214589 \h </w:instrText>
            </w:r>
            <w:r w:rsidR="00871A84">
              <w:rPr>
                <w:noProof/>
                <w:webHidden/>
              </w:rPr>
            </w:r>
            <w:r w:rsidR="00871A84">
              <w:rPr>
                <w:noProof/>
                <w:webHidden/>
              </w:rPr>
              <w:fldChar w:fldCharType="separate"/>
            </w:r>
            <w:r w:rsidR="00871A84">
              <w:rPr>
                <w:noProof/>
                <w:webHidden/>
              </w:rPr>
              <w:t>11</w:t>
            </w:r>
            <w:r w:rsidR="00871A84">
              <w:rPr>
                <w:noProof/>
                <w:webHidden/>
              </w:rPr>
              <w:fldChar w:fldCharType="end"/>
            </w:r>
          </w:hyperlink>
        </w:p>
        <w:p w:rsidR="00871A84" w:rsidRDefault="001D2376">
          <w:pPr>
            <w:pStyle w:val="Spistreci2"/>
            <w:tabs>
              <w:tab w:val="left" w:pos="1540"/>
            </w:tabs>
            <w:rPr>
              <w:rFonts w:asciiTheme="minorHAnsi" w:hAnsiTheme="minorHAnsi" w:cstheme="minorBidi"/>
              <w:noProof/>
              <w:sz w:val="22"/>
            </w:rPr>
          </w:pPr>
          <w:hyperlink w:anchor="_Toc62214590" w:history="1">
            <w:r w:rsidR="00871A84" w:rsidRPr="00733CC2">
              <w:rPr>
                <w:rStyle w:val="Hipercze"/>
                <w:noProof/>
              </w:rPr>
              <w:t>1.6.</w:t>
            </w:r>
            <w:r w:rsidR="00871A84">
              <w:rPr>
                <w:rFonts w:asciiTheme="minorHAnsi" w:hAnsiTheme="minorHAnsi" w:cstheme="minorBidi"/>
                <w:noProof/>
                <w:sz w:val="22"/>
              </w:rPr>
              <w:tab/>
            </w:r>
            <w:r w:rsidR="00871A84" w:rsidRPr="00733CC2">
              <w:rPr>
                <w:rStyle w:val="Hipercze"/>
                <w:noProof/>
              </w:rPr>
              <w:t>Zapisy niedopuszczalne</w:t>
            </w:r>
            <w:r w:rsidR="00871A84">
              <w:rPr>
                <w:noProof/>
                <w:webHidden/>
              </w:rPr>
              <w:tab/>
            </w:r>
            <w:r w:rsidR="00871A84">
              <w:rPr>
                <w:noProof/>
                <w:webHidden/>
              </w:rPr>
              <w:fldChar w:fldCharType="begin"/>
            </w:r>
            <w:r w:rsidR="00871A84">
              <w:rPr>
                <w:noProof/>
                <w:webHidden/>
              </w:rPr>
              <w:instrText xml:space="preserve"> PAGEREF _Toc62214590 \h </w:instrText>
            </w:r>
            <w:r w:rsidR="00871A84">
              <w:rPr>
                <w:noProof/>
                <w:webHidden/>
              </w:rPr>
            </w:r>
            <w:r w:rsidR="00871A84">
              <w:rPr>
                <w:noProof/>
                <w:webHidden/>
              </w:rPr>
              <w:fldChar w:fldCharType="separate"/>
            </w:r>
            <w:r w:rsidR="00871A84">
              <w:rPr>
                <w:noProof/>
                <w:webHidden/>
              </w:rPr>
              <w:t>12</w:t>
            </w:r>
            <w:r w:rsidR="00871A84">
              <w:rPr>
                <w:noProof/>
                <w:webHidden/>
              </w:rPr>
              <w:fldChar w:fldCharType="end"/>
            </w:r>
          </w:hyperlink>
        </w:p>
        <w:p w:rsidR="00871A84" w:rsidRDefault="001D2376">
          <w:pPr>
            <w:pStyle w:val="Spistreci2"/>
            <w:tabs>
              <w:tab w:val="left" w:pos="1540"/>
            </w:tabs>
            <w:rPr>
              <w:rFonts w:asciiTheme="minorHAnsi" w:hAnsiTheme="minorHAnsi" w:cstheme="minorBidi"/>
              <w:noProof/>
              <w:sz w:val="22"/>
            </w:rPr>
          </w:pPr>
          <w:hyperlink w:anchor="_Toc62214591" w:history="1">
            <w:r w:rsidR="00871A84" w:rsidRPr="00733CC2">
              <w:rPr>
                <w:rStyle w:val="Hipercze"/>
                <w:noProof/>
              </w:rPr>
              <w:t>1.7.</w:t>
            </w:r>
            <w:r w:rsidR="00871A84">
              <w:rPr>
                <w:rFonts w:asciiTheme="minorHAnsi" w:hAnsiTheme="minorHAnsi" w:cstheme="minorBidi"/>
                <w:noProof/>
                <w:sz w:val="22"/>
              </w:rPr>
              <w:tab/>
            </w:r>
            <w:r w:rsidR="00871A84" w:rsidRPr="00733CC2">
              <w:rPr>
                <w:rStyle w:val="Hipercze"/>
                <w:noProof/>
              </w:rPr>
              <w:t>Dyskryminujący zbieg wymagań</w:t>
            </w:r>
            <w:r w:rsidR="00871A84">
              <w:rPr>
                <w:noProof/>
                <w:webHidden/>
              </w:rPr>
              <w:tab/>
            </w:r>
            <w:r w:rsidR="00871A84">
              <w:rPr>
                <w:noProof/>
                <w:webHidden/>
              </w:rPr>
              <w:fldChar w:fldCharType="begin"/>
            </w:r>
            <w:r w:rsidR="00871A84">
              <w:rPr>
                <w:noProof/>
                <w:webHidden/>
              </w:rPr>
              <w:instrText xml:space="preserve"> PAGEREF _Toc62214591 \h </w:instrText>
            </w:r>
            <w:r w:rsidR="00871A84">
              <w:rPr>
                <w:noProof/>
                <w:webHidden/>
              </w:rPr>
            </w:r>
            <w:r w:rsidR="00871A84">
              <w:rPr>
                <w:noProof/>
                <w:webHidden/>
              </w:rPr>
              <w:fldChar w:fldCharType="separate"/>
            </w:r>
            <w:r w:rsidR="00871A84">
              <w:rPr>
                <w:noProof/>
                <w:webHidden/>
              </w:rPr>
              <w:t>15</w:t>
            </w:r>
            <w:r w:rsidR="00871A84">
              <w:rPr>
                <w:noProof/>
                <w:webHidden/>
              </w:rPr>
              <w:fldChar w:fldCharType="end"/>
            </w:r>
          </w:hyperlink>
        </w:p>
        <w:p w:rsidR="00871A84" w:rsidRDefault="001D2376">
          <w:pPr>
            <w:pStyle w:val="Spistreci2"/>
            <w:tabs>
              <w:tab w:val="left" w:pos="1540"/>
            </w:tabs>
            <w:rPr>
              <w:rFonts w:asciiTheme="minorHAnsi" w:hAnsiTheme="minorHAnsi" w:cstheme="minorBidi"/>
              <w:noProof/>
              <w:sz w:val="22"/>
            </w:rPr>
          </w:pPr>
          <w:hyperlink w:anchor="_Toc62214592" w:history="1">
            <w:r w:rsidR="00871A84" w:rsidRPr="00733CC2">
              <w:rPr>
                <w:rStyle w:val="Hipercze"/>
                <w:noProof/>
              </w:rPr>
              <w:t>1.8.</w:t>
            </w:r>
            <w:r w:rsidR="00871A84">
              <w:rPr>
                <w:rFonts w:asciiTheme="minorHAnsi" w:hAnsiTheme="minorHAnsi" w:cstheme="minorBidi"/>
                <w:noProof/>
                <w:sz w:val="22"/>
              </w:rPr>
              <w:tab/>
            </w:r>
            <w:r w:rsidR="00871A84" w:rsidRPr="00733CC2">
              <w:rPr>
                <w:rStyle w:val="Hipercze"/>
                <w:noProof/>
              </w:rPr>
              <w:t>Odstępstwa od rekomendacji</w:t>
            </w:r>
            <w:r w:rsidR="00871A84">
              <w:rPr>
                <w:noProof/>
                <w:webHidden/>
              </w:rPr>
              <w:tab/>
            </w:r>
            <w:r w:rsidR="00871A84">
              <w:rPr>
                <w:noProof/>
                <w:webHidden/>
              </w:rPr>
              <w:fldChar w:fldCharType="begin"/>
            </w:r>
            <w:r w:rsidR="00871A84">
              <w:rPr>
                <w:noProof/>
                <w:webHidden/>
              </w:rPr>
              <w:instrText xml:space="preserve"> PAGEREF _Toc62214592 \h </w:instrText>
            </w:r>
            <w:r w:rsidR="00871A84">
              <w:rPr>
                <w:noProof/>
                <w:webHidden/>
              </w:rPr>
            </w:r>
            <w:r w:rsidR="00871A84">
              <w:rPr>
                <w:noProof/>
                <w:webHidden/>
              </w:rPr>
              <w:fldChar w:fldCharType="separate"/>
            </w:r>
            <w:r w:rsidR="00871A84">
              <w:rPr>
                <w:noProof/>
                <w:webHidden/>
              </w:rPr>
              <w:t>15</w:t>
            </w:r>
            <w:r w:rsidR="00871A84">
              <w:rPr>
                <w:noProof/>
                <w:webHidden/>
              </w:rPr>
              <w:fldChar w:fldCharType="end"/>
            </w:r>
          </w:hyperlink>
        </w:p>
        <w:p w:rsidR="00871A84" w:rsidRDefault="001D2376">
          <w:pPr>
            <w:pStyle w:val="Spistreci1"/>
            <w:tabs>
              <w:tab w:val="left" w:pos="1320"/>
              <w:tab w:val="right" w:leader="dot" w:pos="9062"/>
            </w:tabs>
            <w:rPr>
              <w:rFonts w:asciiTheme="minorHAnsi" w:hAnsiTheme="minorHAnsi" w:cstheme="minorBidi"/>
              <w:noProof/>
              <w:sz w:val="22"/>
            </w:rPr>
          </w:pPr>
          <w:hyperlink w:anchor="_Toc62214593" w:history="1">
            <w:r w:rsidR="00871A84" w:rsidRPr="00733CC2">
              <w:rPr>
                <w:rStyle w:val="Hipercze"/>
                <w:noProof/>
              </w:rPr>
              <w:t>2.</w:t>
            </w:r>
            <w:r w:rsidR="00871A84">
              <w:rPr>
                <w:rFonts w:asciiTheme="minorHAnsi" w:hAnsiTheme="minorHAnsi" w:cstheme="minorBidi"/>
                <w:noProof/>
                <w:sz w:val="22"/>
              </w:rPr>
              <w:tab/>
            </w:r>
            <w:r w:rsidR="00871A84" w:rsidRPr="00733CC2">
              <w:rPr>
                <w:rStyle w:val="Hipercze"/>
                <w:noProof/>
              </w:rPr>
              <w:t>Uzasadnienie zasad konstruowania SWZ</w:t>
            </w:r>
            <w:r w:rsidR="00871A84">
              <w:rPr>
                <w:noProof/>
                <w:webHidden/>
              </w:rPr>
              <w:tab/>
            </w:r>
            <w:r w:rsidR="00871A84">
              <w:rPr>
                <w:noProof/>
                <w:webHidden/>
              </w:rPr>
              <w:fldChar w:fldCharType="begin"/>
            </w:r>
            <w:r w:rsidR="00871A84">
              <w:rPr>
                <w:noProof/>
                <w:webHidden/>
              </w:rPr>
              <w:instrText xml:space="preserve"> PAGEREF _Toc62214593 \h </w:instrText>
            </w:r>
            <w:r w:rsidR="00871A84">
              <w:rPr>
                <w:noProof/>
                <w:webHidden/>
              </w:rPr>
            </w:r>
            <w:r w:rsidR="00871A84">
              <w:rPr>
                <w:noProof/>
                <w:webHidden/>
              </w:rPr>
              <w:fldChar w:fldCharType="separate"/>
            </w:r>
            <w:r w:rsidR="00871A84">
              <w:rPr>
                <w:noProof/>
                <w:webHidden/>
              </w:rPr>
              <w:t>16</w:t>
            </w:r>
            <w:r w:rsidR="00871A84">
              <w:rPr>
                <w:noProof/>
                <w:webHidden/>
              </w:rPr>
              <w:fldChar w:fldCharType="end"/>
            </w:r>
          </w:hyperlink>
        </w:p>
        <w:p w:rsidR="00871A84" w:rsidRDefault="001D2376">
          <w:pPr>
            <w:pStyle w:val="Spistreci2"/>
            <w:tabs>
              <w:tab w:val="left" w:pos="1540"/>
            </w:tabs>
            <w:rPr>
              <w:rFonts w:asciiTheme="minorHAnsi" w:hAnsiTheme="minorHAnsi" w:cstheme="minorBidi"/>
              <w:noProof/>
              <w:sz w:val="22"/>
            </w:rPr>
          </w:pPr>
          <w:hyperlink w:anchor="_Toc62214594" w:history="1">
            <w:r w:rsidR="00871A84" w:rsidRPr="00733CC2">
              <w:rPr>
                <w:rStyle w:val="Hipercze"/>
                <w:noProof/>
              </w:rPr>
              <w:t>2.1.</w:t>
            </w:r>
            <w:r w:rsidR="00871A84">
              <w:rPr>
                <w:rFonts w:asciiTheme="minorHAnsi" w:hAnsiTheme="minorHAnsi" w:cstheme="minorBidi"/>
                <w:noProof/>
                <w:sz w:val="22"/>
              </w:rPr>
              <w:tab/>
            </w:r>
            <w:r w:rsidR="00871A84" w:rsidRPr="00733CC2">
              <w:rPr>
                <w:rStyle w:val="Hipercze"/>
                <w:noProof/>
              </w:rPr>
              <w:t>Wyjaśnienia do zapisów szczegółowych</w:t>
            </w:r>
            <w:r w:rsidR="00871A84">
              <w:rPr>
                <w:noProof/>
                <w:webHidden/>
              </w:rPr>
              <w:tab/>
            </w:r>
            <w:r w:rsidR="00871A84">
              <w:rPr>
                <w:noProof/>
                <w:webHidden/>
              </w:rPr>
              <w:fldChar w:fldCharType="begin"/>
            </w:r>
            <w:r w:rsidR="00871A84">
              <w:rPr>
                <w:noProof/>
                <w:webHidden/>
              </w:rPr>
              <w:instrText xml:space="preserve"> PAGEREF _Toc62214594 \h </w:instrText>
            </w:r>
            <w:r w:rsidR="00871A84">
              <w:rPr>
                <w:noProof/>
                <w:webHidden/>
              </w:rPr>
            </w:r>
            <w:r w:rsidR="00871A84">
              <w:rPr>
                <w:noProof/>
                <w:webHidden/>
              </w:rPr>
              <w:fldChar w:fldCharType="separate"/>
            </w:r>
            <w:r w:rsidR="00871A84">
              <w:rPr>
                <w:noProof/>
                <w:webHidden/>
              </w:rPr>
              <w:t>16</w:t>
            </w:r>
            <w:r w:rsidR="00871A84">
              <w:rPr>
                <w:noProof/>
                <w:webHidden/>
              </w:rPr>
              <w:fldChar w:fldCharType="end"/>
            </w:r>
          </w:hyperlink>
        </w:p>
        <w:p w:rsidR="00871A84" w:rsidRDefault="001D2376">
          <w:pPr>
            <w:pStyle w:val="Spistreci3"/>
            <w:tabs>
              <w:tab w:val="left" w:pos="1949"/>
              <w:tab w:val="right" w:leader="dot" w:pos="9062"/>
            </w:tabs>
            <w:rPr>
              <w:rFonts w:asciiTheme="minorHAnsi" w:hAnsiTheme="minorHAnsi" w:cstheme="minorBidi"/>
              <w:noProof/>
              <w:sz w:val="22"/>
            </w:rPr>
          </w:pPr>
          <w:hyperlink w:anchor="_Toc62214595" w:history="1">
            <w:r w:rsidR="00871A84" w:rsidRPr="00733CC2">
              <w:rPr>
                <w:rStyle w:val="Hipercze"/>
                <w:noProof/>
              </w:rPr>
              <w:t>2.1.1.</w:t>
            </w:r>
            <w:r w:rsidR="00871A84">
              <w:rPr>
                <w:rFonts w:asciiTheme="minorHAnsi" w:hAnsiTheme="minorHAnsi" w:cstheme="minorBidi"/>
                <w:noProof/>
                <w:sz w:val="22"/>
              </w:rPr>
              <w:tab/>
            </w:r>
            <w:r w:rsidR="00871A84" w:rsidRPr="00733CC2">
              <w:rPr>
                <w:rStyle w:val="Hipercze"/>
                <w:noProof/>
              </w:rPr>
              <w:t>Obszar zastosowań</w:t>
            </w:r>
            <w:r w:rsidR="00871A84">
              <w:rPr>
                <w:noProof/>
                <w:webHidden/>
              </w:rPr>
              <w:tab/>
            </w:r>
            <w:r w:rsidR="00871A84">
              <w:rPr>
                <w:noProof/>
                <w:webHidden/>
              </w:rPr>
              <w:fldChar w:fldCharType="begin"/>
            </w:r>
            <w:r w:rsidR="00871A84">
              <w:rPr>
                <w:noProof/>
                <w:webHidden/>
              </w:rPr>
              <w:instrText xml:space="preserve"> PAGEREF _Toc62214595 \h </w:instrText>
            </w:r>
            <w:r w:rsidR="00871A84">
              <w:rPr>
                <w:noProof/>
                <w:webHidden/>
              </w:rPr>
            </w:r>
            <w:r w:rsidR="00871A84">
              <w:rPr>
                <w:noProof/>
                <w:webHidden/>
              </w:rPr>
              <w:fldChar w:fldCharType="separate"/>
            </w:r>
            <w:r w:rsidR="00871A84">
              <w:rPr>
                <w:noProof/>
                <w:webHidden/>
              </w:rPr>
              <w:t>16</w:t>
            </w:r>
            <w:r w:rsidR="00871A84">
              <w:rPr>
                <w:noProof/>
                <w:webHidden/>
              </w:rPr>
              <w:fldChar w:fldCharType="end"/>
            </w:r>
          </w:hyperlink>
        </w:p>
        <w:p w:rsidR="00871A84" w:rsidRDefault="001D2376">
          <w:pPr>
            <w:pStyle w:val="Spistreci3"/>
            <w:tabs>
              <w:tab w:val="left" w:pos="1949"/>
              <w:tab w:val="right" w:leader="dot" w:pos="9062"/>
            </w:tabs>
            <w:rPr>
              <w:rFonts w:asciiTheme="minorHAnsi" w:hAnsiTheme="minorHAnsi" w:cstheme="minorBidi"/>
              <w:noProof/>
              <w:sz w:val="22"/>
            </w:rPr>
          </w:pPr>
          <w:hyperlink w:anchor="_Toc62214596" w:history="1">
            <w:r w:rsidR="00871A84" w:rsidRPr="00733CC2">
              <w:rPr>
                <w:rStyle w:val="Hipercze"/>
                <w:noProof/>
              </w:rPr>
              <w:t>2.1.2.</w:t>
            </w:r>
            <w:r w:rsidR="00871A84">
              <w:rPr>
                <w:rFonts w:asciiTheme="minorHAnsi" w:hAnsiTheme="minorHAnsi" w:cstheme="minorBidi"/>
                <w:noProof/>
                <w:sz w:val="22"/>
              </w:rPr>
              <w:tab/>
            </w:r>
            <w:r w:rsidR="00871A84" w:rsidRPr="00733CC2">
              <w:rPr>
                <w:rStyle w:val="Hipercze"/>
                <w:noProof/>
              </w:rPr>
              <w:t>Procesor</w:t>
            </w:r>
            <w:r w:rsidR="00871A84">
              <w:rPr>
                <w:noProof/>
                <w:webHidden/>
              </w:rPr>
              <w:tab/>
            </w:r>
            <w:r w:rsidR="00871A84">
              <w:rPr>
                <w:noProof/>
                <w:webHidden/>
              </w:rPr>
              <w:fldChar w:fldCharType="begin"/>
            </w:r>
            <w:r w:rsidR="00871A84">
              <w:rPr>
                <w:noProof/>
                <w:webHidden/>
              </w:rPr>
              <w:instrText xml:space="preserve"> PAGEREF _Toc62214596 \h </w:instrText>
            </w:r>
            <w:r w:rsidR="00871A84">
              <w:rPr>
                <w:noProof/>
                <w:webHidden/>
              </w:rPr>
            </w:r>
            <w:r w:rsidR="00871A84">
              <w:rPr>
                <w:noProof/>
                <w:webHidden/>
              </w:rPr>
              <w:fldChar w:fldCharType="separate"/>
            </w:r>
            <w:r w:rsidR="00871A84">
              <w:rPr>
                <w:noProof/>
                <w:webHidden/>
              </w:rPr>
              <w:t>17</w:t>
            </w:r>
            <w:r w:rsidR="00871A84">
              <w:rPr>
                <w:noProof/>
                <w:webHidden/>
              </w:rPr>
              <w:fldChar w:fldCharType="end"/>
            </w:r>
          </w:hyperlink>
        </w:p>
        <w:p w:rsidR="00871A84" w:rsidRDefault="001D2376">
          <w:pPr>
            <w:pStyle w:val="Spistreci3"/>
            <w:tabs>
              <w:tab w:val="left" w:pos="1949"/>
              <w:tab w:val="right" w:leader="dot" w:pos="9062"/>
            </w:tabs>
            <w:rPr>
              <w:rFonts w:asciiTheme="minorHAnsi" w:hAnsiTheme="minorHAnsi" w:cstheme="minorBidi"/>
              <w:noProof/>
              <w:sz w:val="22"/>
            </w:rPr>
          </w:pPr>
          <w:hyperlink w:anchor="_Toc62214597" w:history="1">
            <w:r w:rsidR="00871A84" w:rsidRPr="00733CC2">
              <w:rPr>
                <w:rStyle w:val="Hipercze"/>
                <w:noProof/>
              </w:rPr>
              <w:t>2.1.3.</w:t>
            </w:r>
            <w:r w:rsidR="00871A84">
              <w:rPr>
                <w:rFonts w:asciiTheme="minorHAnsi" w:hAnsiTheme="minorHAnsi" w:cstheme="minorBidi"/>
                <w:noProof/>
                <w:sz w:val="22"/>
              </w:rPr>
              <w:tab/>
            </w:r>
            <w:r w:rsidR="00871A84" w:rsidRPr="00733CC2">
              <w:rPr>
                <w:rStyle w:val="Hipercze"/>
                <w:noProof/>
              </w:rPr>
              <w:t>Wydajność urządzenia</w:t>
            </w:r>
            <w:r w:rsidR="00871A84">
              <w:rPr>
                <w:noProof/>
                <w:webHidden/>
              </w:rPr>
              <w:tab/>
            </w:r>
            <w:r w:rsidR="00871A84">
              <w:rPr>
                <w:noProof/>
                <w:webHidden/>
              </w:rPr>
              <w:fldChar w:fldCharType="begin"/>
            </w:r>
            <w:r w:rsidR="00871A84">
              <w:rPr>
                <w:noProof/>
                <w:webHidden/>
              </w:rPr>
              <w:instrText xml:space="preserve"> PAGEREF _Toc62214597 \h </w:instrText>
            </w:r>
            <w:r w:rsidR="00871A84">
              <w:rPr>
                <w:noProof/>
                <w:webHidden/>
              </w:rPr>
            </w:r>
            <w:r w:rsidR="00871A84">
              <w:rPr>
                <w:noProof/>
                <w:webHidden/>
              </w:rPr>
              <w:fldChar w:fldCharType="separate"/>
            </w:r>
            <w:r w:rsidR="00871A84">
              <w:rPr>
                <w:noProof/>
                <w:webHidden/>
              </w:rPr>
              <w:t>19</w:t>
            </w:r>
            <w:r w:rsidR="00871A84">
              <w:rPr>
                <w:noProof/>
                <w:webHidden/>
              </w:rPr>
              <w:fldChar w:fldCharType="end"/>
            </w:r>
          </w:hyperlink>
        </w:p>
        <w:p w:rsidR="00871A84" w:rsidRDefault="001D2376">
          <w:pPr>
            <w:pStyle w:val="Spistreci2"/>
            <w:tabs>
              <w:tab w:val="left" w:pos="1540"/>
            </w:tabs>
            <w:rPr>
              <w:rFonts w:asciiTheme="minorHAnsi" w:hAnsiTheme="minorHAnsi" w:cstheme="minorBidi"/>
              <w:noProof/>
              <w:sz w:val="22"/>
            </w:rPr>
          </w:pPr>
          <w:hyperlink w:anchor="_Toc62214598" w:history="1">
            <w:r w:rsidR="00871A84" w:rsidRPr="00733CC2">
              <w:rPr>
                <w:rStyle w:val="Hipercze"/>
                <w:noProof/>
              </w:rPr>
              <w:t>2.2.</w:t>
            </w:r>
            <w:r w:rsidR="00871A84">
              <w:rPr>
                <w:rFonts w:asciiTheme="minorHAnsi" w:hAnsiTheme="minorHAnsi" w:cstheme="minorBidi"/>
                <w:noProof/>
                <w:sz w:val="22"/>
              </w:rPr>
              <w:tab/>
            </w:r>
            <w:r w:rsidR="00871A84" w:rsidRPr="00733CC2">
              <w:rPr>
                <w:rStyle w:val="Hipercze"/>
                <w:noProof/>
              </w:rPr>
              <w:t>Pamięć operacyjna</w:t>
            </w:r>
            <w:r w:rsidR="00871A84">
              <w:rPr>
                <w:noProof/>
                <w:webHidden/>
              </w:rPr>
              <w:tab/>
            </w:r>
            <w:r w:rsidR="00871A84">
              <w:rPr>
                <w:noProof/>
                <w:webHidden/>
              </w:rPr>
              <w:fldChar w:fldCharType="begin"/>
            </w:r>
            <w:r w:rsidR="00871A84">
              <w:rPr>
                <w:noProof/>
                <w:webHidden/>
              </w:rPr>
              <w:instrText xml:space="preserve"> PAGEREF _Toc62214598 \h </w:instrText>
            </w:r>
            <w:r w:rsidR="00871A84">
              <w:rPr>
                <w:noProof/>
                <w:webHidden/>
              </w:rPr>
            </w:r>
            <w:r w:rsidR="00871A84">
              <w:rPr>
                <w:noProof/>
                <w:webHidden/>
              </w:rPr>
              <w:fldChar w:fldCharType="separate"/>
            </w:r>
            <w:r w:rsidR="00871A84">
              <w:rPr>
                <w:noProof/>
                <w:webHidden/>
              </w:rPr>
              <w:t>19</w:t>
            </w:r>
            <w:r w:rsidR="00871A84">
              <w:rPr>
                <w:noProof/>
                <w:webHidden/>
              </w:rPr>
              <w:fldChar w:fldCharType="end"/>
            </w:r>
          </w:hyperlink>
        </w:p>
        <w:p w:rsidR="00871A84" w:rsidRDefault="001D2376">
          <w:pPr>
            <w:pStyle w:val="Spistreci2"/>
            <w:tabs>
              <w:tab w:val="left" w:pos="1540"/>
            </w:tabs>
            <w:rPr>
              <w:rFonts w:asciiTheme="minorHAnsi" w:hAnsiTheme="minorHAnsi" w:cstheme="minorBidi"/>
              <w:noProof/>
              <w:sz w:val="22"/>
            </w:rPr>
          </w:pPr>
          <w:hyperlink w:anchor="_Toc62214599" w:history="1">
            <w:r w:rsidR="00871A84" w:rsidRPr="00733CC2">
              <w:rPr>
                <w:rStyle w:val="Hipercze"/>
                <w:noProof/>
              </w:rPr>
              <w:t>2.3.</w:t>
            </w:r>
            <w:r w:rsidR="00871A84">
              <w:rPr>
                <w:rFonts w:asciiTheme="minorHAnsi" w:hAnsiTheme="minorHAnsi" w:cstheme="minorBidi"/>
                <w:noProof/>
                <w:sz w:val="22"/>
              </w:rPr>
              <w:tab/>
            </w:r>
            <w:r w:rsidR="00871A84" w:rsidRPr="00733CC2">
              <w:rPr>
                <w:rStyle w:val="Hipercze"/>
                <w:noProof/>
              </w:rPr>
              <w:t>Karta graficzna</w:t>
            </w:r>
            <w:r w:rsidR="00871A84">
              <w:rPr>
                <w:noProof/>
                <w:webHidden/>
              </w:rPr>
              <w:tab/>
            </w:r>
            <w:r w:rsidR="00871A84">
              <w:rPr>
                <w:noProof/>
                <w:webHidden/>
              </w:rPr>
              <w:fldChar w:fldCharType="begin"/>
            </w:r>
            <w:r w:rsidR="00871A84">
              <w:rPr>
                <w:noProof/>
                <w:webHidden/>
              </w:rPr>
              <w:instrText xml:space="preserve"> PAGEREF _Toc62214599 \h </w:instrText>
            </w:r>
            <w:r w:rsidR="00871A84">
              <w:rPr>
                <w:noProof/>
                <w:webHidden/>
              </w:rPr>
            </w:r>
            <w:r w:rsidR="00871A84">
              <w:rPr>
                <w:noProof/>
                <w:webHidden/>
              </w:rPr>
              <w:fldChar w:fldCharType="separate"/>
            </w:r>
            <w:r w:rsidR="00871A84">
              <w:rPr>
                <w:noProof/>
                <w:webHidden/>
              </w:rPr>
              <w:t>19</w:t>
            </w:r>
            <w:r w:rsidR="00871A84">
              <w:rPr>
                <w:noProof/>
                <w:webHidden/>
              </w:rPr>
              <w:fldChar w:fldCharType="end"/>
            </w:r>
          </w:hyperlink>
        </w:p>
        <w:p w:rsidR="00871A84" w:rsidRDefault="001D2376">
          <w:pPr>
            <w:pStyle w:val="Spistreci2"/>
            <w:tabs>
              <w:tab w:val="left" w:pos="1540"/>
            </w:tabs>
            <w:rPr>
              <w:rFonts w:asciiTheme="minorHAnsi" w:hAnsiTheme="minorHAnsi" w:cstheme="minorBidi"/>
              <w:noProof/>
              <w:sz w:val="22"/>
            </w:rPr>
          </w:pPr>
          <w:hyperlink w:anchor="_Toc62214600" w:history="1">
            <w:r w:rsidR="00871A84" w:rsidRPr="00733CC2">
              <w:rPr>
                <w:rStyle w:val="Hipercze"/>
                <w:noProof/>
              </w:rPr>
              <w:t>2.4.</w:t>
            </w:r>
            <w:r w:rsidR="00871A84">
              <w:rPr>
                <w:rFonts w:asciiTheme="minorHAnsi" w:hAnsiTheme="minorHAnsi" w:cstheme="minorBidi"/>
                <w:noProof/>
                <w:sz w:val="22"/>
              </w:rPr>
              <w:tab/>
            </w:r>
            <w:r w:rsidR="00871A84" w:rsidRPr="00733CC2">
              <w:rPr>
                <w:rStyle w:val="Hipercze"/>
                <w:noProof/>
              </w:rPr>
              <w:t>Płyta główna</w:t>
            </w:r>
            <w:r w:rsidR="00871A84">
              <w:rPr>
                <w:noProof/>
                <w:webHidden/>
              </w:rPr>
              <w:tab/>
            </w:r>
            <w:r w:rsidR="00871A84">
              <w:rPr>
                <w:noProof/>
                <w:webHidden/>
              </w:rPr>
              <w:fldChar w:fldCharType="begin"/>
            </w:r>
            <w:r w:rsidR="00871A84">
              <w:rPr>
                <w:noProof/>
                <w:webHidden/>
              </w:rPr>
              <w:instrText xml:space="preserve"> PAGEREF _Toc62214600 \h </w:instrText>
            </w:r>
            <w:r w:rsidR="00871A84">
              <w:rPr>
                <w:noProof/>
                <w:webHidden/>
              </w:rPr>
            </w:r>
            <w:r w:rsidR="00871A84">
              <w:rPr>
                <w:noProof/>
                <w:webHidden/>
              </w:rPr>
              <w:fldChar w:fldCharType="separate"/>
            </w:r>
            <w:r w:rsidR="00871A84">
              <w:rPr>
                <w:noProof/>
                <w:webHidden/>
              </w:rPr>
              <w:t>20</w:t>
            </w:r>
            <w:r w:rsidR="00871A84">
              <w:rPr>
                <w:noProof/>
                <w:webHidden/>
              </w:rPr>
              <w:fldChar w:fldCharType="end"/>
            </w:r>
          </w:hyperlink>
        </w:p>
        <w:p w:rsidR="00871A84" w:rsidRDefault="001D2376">
          <w:pPr>
            <w:pStyle w:val="Spistreci2"/>
            <w:tabs>
              <w:tab w:val="left" w:pos="1540"/>
            </w:tabs>
            <w:rPr>
              <w:rFonts w:asciiTheme="minorHAnsi" w:hAnsiTheme="minorHAnsi" w:cstheme="minorBidi"/>
              <w:noProof/>
              <w:sz w:val="22"/>
            </w:rPr>
          </w:pPr>
          <w:hyperlink w:anchor="_Toc62214601" w:history="1">
            <w:r w:rsidR="00871A84" w:rsidRPr="00733CC2">
              <w:rPr>
                <w:rStyle w:val="Hipercze"/>
                <w:noProof/>
              </w:rPr>
              <w:t>2.5.</w:t>
            </w:r>
            <w:r w:rsidR="00871A84">
              <w:rPr>
                <w:rFonts w:asciiTheme="minorHAnsi" w:hAnsiTheme="minorHAnsi" w:cstheme="minorBidi"/>
                <w:noProof/>
                <w:sz w:val="22"/>
              </w:rPr>
              <w:tab/>
            </w:r>
            <w:r w:rsidR="00871A84" w:rsidRPr="00733CC2">
              <w:rPr>
                <w:rStyle w:val="Hipercze"/>
                <w:noProof/>
              </w:rPr>
              <w:t>Dysk twardy</w:t>
            </w:r>
            <w:r w:rsidR="00871A84">
              <w:rPr>
                <w:noProof/>
                <w:webHidden/>
              </w:rPr>
              <w:tab/>
            </w:r>
            <w:r w:rsidR="00871A84">
              <w:rPr>
                <w:noProof/>
                <w:webHidden/>
              </w:rPr>
              <w:fldChar w:fldCharType="begin"/>
            </w:r>
            <w:r w:rsidR="00871A84">
              <w:rPr>
                <w:noProof/>
                <w:webHidden/>
              </w:rPr>
              <w:instrText xml:space="preserve"> PAGEREF _Toc62214601 \h </w:instrText>
            </w:r>
            <w:r w:rsidR="00871A84">
              <w:rPr>
                <w:noProof/>
                <w:webHidden/>
              </w:rPr>
            </w:r>
            <w:r w:rsidR="00871A84">
              <w:rPr>
                <w:noProof/>
                <w:webHidden/>
              </w:rPr>
              <w:fldChar w:fldCharType="separate"/>
            </w:r>
            <w:r w:rsidR="00871A84">
              <w:rPr>
                <w:noProof/>
                <w:webHidden/>
              </w:rPr>
              <w:t>21</w:t>
            </w:r>
            <w:r w:rsidR="00871A84">
              <w:rPr>
                <w:noProof/>
                <w:webHidden/>
              </w:rPr>
              <w:fldChar w:fldCharType="end"/>
            </w:r>
          </w:hyperlink>
        </w:p>
        <w:p w:rsidR="00871A84" w:rsidRDefault="001D2376">
          <w:pPr>
            <w:pStyle w:val="Spistreci2"/>
            <w:tabs>
              <w:tab w:val="left" w:pos="1540"/>
            </w:tabs>
            <w:rPr>
              <w:rFonts w:asciiTheme="minorHAnsi" w:hAnsiTheme="minorHAnsi" w:cstheme="minorBidi"/>
              <w:noProof/>
              <w:sz w:val="22"/>
            </w:rPr>
          </w:pPr>
          <w:hyperlink w:anchor="_Toc62214602" w:history="1">
            <w:r w:rsidR="00871A84" w:rsidRPr="00733CC2">
              <w:rPr>
                <w:rStyle w:val="Hipercze"/>
                <w:noProof/>
              </w:rPr>
              <w:t>2.6.</w:t>
            </w:r>
            <w:r w:rsidR="00871A84">
              <w:rPr>
                <w:rFonts w:asciiTheme="minorHAnsi" w:hAnsiTheme="minorHAnsi" w:cstheme="minorBidi"/>
                <w:noProof/>
                <w:sz w:val="22"/>
              </w:rPr>
              <w:tab/>
            </w:r>
            <w:r w:rsidR="00871A84" w:rsidRPr="00733CC2">
              <w:rPr>
                <w:rStyle w:val="Hipercze"/>
                <w:noProof/>
              </w:rPr>
              <w:t>Monitor i inne urządzenia peryferyjne</w:t>
            </w:r>
            <w:r w:rsidR="00871A84">
              <w:rPr>
                <w:noProof/>
                <w:webHidden/>
              </w:rPr>
              <w:tab/>
            </w:r>
            <w:r w:rsidR="00871A84">
              <w:rPr>
                <w:noProof/>
                <w:webHidden/>
              </w:rPr>
              <w:fldChar w:fldCharType="begin"/>
            </w:r>
            <w:r w:rsidR="00871A84">
              <w:rPr>
                <w:noProof/>
                <w:webHidden/>
              </w:rPr>
              <w:instrText xml:space="preserve"> PAGEREF _Toc62214602 \h </w:instrText>
            </w:r>
            <w:r w:rsidR="00871A84">
              <w:rPr>
                <w:noProof/>
                <w:webHidden/>
              </w:rPr>
            </w:r>
            <w:r w:rsidR="00871A84">
              <w:rPr>
                <w:noProof/>
                <w:webHidden/>
              </w:rPr>
              <w:fldChar w:fldCharType="separate"/>
            </w:r>
            <w:r w:rsidR="00871A84">
              <w:rPr>
                <w:noProof/>
                <w:webHidden/>
              </w:rPr>
              <w:t>21</w:t>
            </w:r>
            <w:r w:rsidR="00871A84">
              <w:rPr>
                <w:noProof/>
                <w:webHidden/>
              </w:rPr>
              <w:fldChar w:fldCharType="end"/>
            </w:r>
          </w:hyperlink>
        </w:p>
        <w:p w:rsidR="00871A84" w:rsidRDefault="001D2376">
          <w:pPr>
            <w:pStyle w:val="Spistreci2"/>
            <w:tabs>
              <w:tab w:val="left" w:pos="1540"/>
            </w:tabs>
            <w:rPr>
              <w:rFonts w:asciiTheme="minorHAnsi" w:hAnsiTheme="minorHAnsi" w:cstheme="minorBidi"/>
              <w:noProof/>
              <w:sz w:val="22"/>
            </w:rPr>
          </w:pPr>
          <w:hyperlink w:anchor="_Toc62214603" w:history="1">
            <w:r w:rsidR="00871A84" w:rsidRPr="00733CC2">
              <w:rPr>
                <w:rStyle w:val="Hipercze"/>
                <w:noProof/>
              </w:rPr>
              <w:t>2.7.</w:t>
            </w:r>
            <w:r w:rsidR="00871A84">
              <w:rPr>
                <w:rFonts w:asciiTheme="minorHAnsi" w:hAnsiTheme="minorHAnsi" w:cstheme="minorBidi"/>
                <w:noProof/>
                <w:sz w:val="22"/>
              </w:rPr>
              <w:tab/>
            </w:r>
            <w:r w:rsidR="00871A84" w:rsidRPr="00733CC2">
              <w:rPr>
                <w:rStyle w:val="Hipercze"/>
                <w:noProof/>
              </w:rPr>
              <w:t>Dyskryminujący zbieg wymagań</w:t>
            </w:r>
            <w:r w:rsidR="00871A84">
              <w:rPr>
                <w:noProof/>
                <w:webHidden/>
              </w:rPr>
              <w:tab/>
            </w:r>
            <w:r w:rsidR="00871A84">
              <w:rPr>
                <w:noProof/>
                <w:webHidden/>
              </w:rPr>
              <w:fldChar w:fldCharType="begin"/>
            </w:r>
            <w:r w:rsidR="00871A84">
              <w:rPr>
                <w:noProof/>
                <w:webHidden/>
              </w:rPr>
              <w:instrText xml:space="preserve"> PAGEREF _Toc62214603 \h </w:instrText>
            </w:r>
            <w:r w:rsidR="00871A84">
              <w:rPr>
                <w:noProof/>
                <w:webHidden/>
              </w:rPr>
            </w:r>
            <w:r w:rsidR="00871A84">
              <w:rPr>
                <w:noProof/>
                <w:webHidden/>
              </w:rPr>
              <w:fldChar w:fldCharType="separate"/>
            </w:r>
            <w:r w:rsidR="00871A84">
              <w:rPr>
                <w:noProof/>
                <w:webHidden/>
              </w:rPr>
              <w:t>21</w:t>
            </w:r>
            <w:r w:rsidR="00871A84">
              <w:rPr>
                <w:noProof/>
                <w:webHidden/>
              </w:rPr>
              <w:fldChar w:fldCharType="end"/>
            </w:r>
          </w:hyperlink>
        </w:p>
        <w:p w:rsidR="00871A84" w:rsidRDefault="001D2376">
          <w:pPr>
            <w:pStyle w:val="Spistreci1"/>
            <w:tabs>
              <w:tab w:val="left" w:pos="1320"/>
              <w:tab w:val="right" w:leader="dot" w:pos="9062"/>
            </w:tabs>
            <w:rPr>
              <w:rFonts w:asciiTheme="minorHAnsi" w:hAnsiTheme="minorHAnsi" w:cstheme="minorBidi"/>
              <w:noProof/>
              <w:sz w:val="22"/>
            </w:rPr>
          </w:pPr>
          <w:hyperlink w:anchor="_Toc62214604" w:history="1">
            <w:r w:rsidR="00871A84" w:rsidRPr="00733CC2">
              <w:rPr>
                <w:rStyle w:val="Hipercze"/>
                <w:noProof/>
              </w:rPr>
              <w:t>3.</w:t>
            </w:r>
            <w:r w:rsidR="00871A84">
              <w:rPr>
                <w:rFonts w:asciiTheme="minorHAnsi" w:hAnsiTheme="minorHAnsi" w:cstheme="minorBidi"/>
                <w:noProof/>
                <w:sz w:val="22"/>
              </w:rPr>
              <w:tab/>
            </w:r>
            <w:r w:rsidR="00871A84" w:rsidRPr="00733CC2">
              <w:rPr>
                <w:rStyle w:val="Hipercze"/>
                <w:noProof/>
              </w:rPr>
              <w:t>Przykładowy opis wymagań dla urządzenia komputerowego</w:t>
            </w:r>
            <w:r w:rsidR="00871A84">
              <w:rPr>
                <w:noProof/>
                <w:webHidden/>
              </w:rPr>
              <w:tab/>
            </w:r>
            <w:r w:rsidR="00871A84">
              <w:rPr>
                <w:noProof/>
                <w:webHidden/>
              </w:rPr>
              <w:fldChar w:fldCharType="begin"/>
            </w:r>
            <w:r w:rsidR="00871A84">
              <w:rPr>
                <w:noProof/>
                <w:webHidden/>
              </w:rPr>
              <w:instrText xml:space="preserve"> PAGEREF _Toc62214604 \h </w:instrText>
            </w:r>
            <w:r w:rsidR="00871A84">
              <w:rPr>
                <w:noProof/>
                <w:webHidden/>
              </w:rPr>
            </w:r>
            <w:r w:rsidR="00871A84">
              <w:rPr>
                <w:noProof/>
                <w:webHidden/>
              </w:rPr>
              <w:fldChar w:fldCharType="separate"/>
            </w:r>
            <w:r w:rsidR="00871A84">
              <w:rPr>
                <w:noProof/>
                <w:webHidden/>
              </w:rPr>
              <w:t>22</w:t>
            </w:r>
            <w:r w:rsidR="00871A84">
              <w:rPr>
                <w:noProof/>
                <w:webHidden/>
              </w:rPr>
              <w:fldChar w:fldCharType="end"/>
            </w:r>
          </w:hyperlink>
        </w:p>
        <w:p w:rsidR="00871A84" w:rsidRDefault="001D2376">
          <w:pPr>
            <w:pStyle w:val="Spistreci1"/>
            <w:tabs>
              <w:tab w:val="left" w:pos="1320"/>
              <w:tab w:val="right" w:leader="dot" w:pos="9062"/>
            </w:tabs>
            <w:rPr>
              <w:rFonts w:asciiTheme="minorHAnsi" w:hAnsiTheme="minorHAnsi" w:cstheme="minorBidi"/>
              <w:noProof/>
              <w:sz w:val="22"/>
            </w:rPr>
          </w:pPr>
          <w:hyperlink w:anchor="_Toc62214605" w:history="1">
            <w:r w:rsidR="00871A84" w:rsidRPr="00733CC2">
              <w:rPr>
                <w:rStyle w:val="Hipercze"/>
                <w:noProof/>
              </w:rPr>
              <w:t>4.</w:t>
            </w:r>
            <w:r w:rsidR="00871A84">
              <w:rPr>
                <w:rFonts w:asciiTheme="minorHAnsi" w:hAnsiTheme="minorHAnsi" w:cstheme="minorBidi"/>
                <w:noProof/>
                <w:sz w:val="22"/>
              </w:rPr>
              <w:tab/>
            </w:r>
            <w:r w:rsidR="00871A84" w:rsidRPr="00733CC2">
              <w:rPr>
                <w:rStyle w:val="Hipercze"/>
                <w:noProof/>
              </w:rPr>
              <w:t>Zastrzeżenia</w:t>
            </w:r>
            <w:r w:rsidR="00871A84">
              <w:rPr>
                <w:noProof/>
                <w:webHidden/>
              </w:rPr>
              <w:tab/>
            </w:r>
            <w:r w:rsidR="00871A84">
              <w:rPr>
                <w:noProof/>
                <w:webHidden/>
              </w:rPr>
              <w:fldChar w:fldCharType="begin"/>
            </w:r>
            <w:r w:rsidR="00871A84">
              <w:rPr>
                <w:noProof/>
                <w:webHidden/>
              </w:rPr>
              <w:instrText xml:space="preserve"> PAGEREF _Toc62214605 \h </w:instrText>
            </w:r>
            <w:r w:rsidR="00871A84">
              <w:rPr>
                <w:noProof/>
                <w:webHidden/>
              </w:rPr>
            </w:r>
            <w:r w:rsidR="00871A84">
              <w:rPr>
                <w:noProof/>
                <w:webHidden/>
              </w:rPr>
              <w:fldChar w:fldCharType="separate"/>
            </w:r>
            <w:r w:rsidR="00871A84">
              <w:rPr>
                <w:noProof/>
                <w:webHidden/>
              </w:rPr>
              <w:t>29</w:t>
            </w:r>
            <w:r w:rsidR="00871A84">
              <w:rPr>
                <w:noProof/>
                <w:webHidden/>
              </w:rPr>
              <w:fldChar w:fldCharType="end"/>
            </w:r>
          </w:hyperlink>
        </w:p>
        <w:p w:rsidR="00871A84" w:rsidRDefault="001D2376">
          <w:pPr>
            <w:pStyle w:val="Spistreci1"/>
            <w:tabs>
              <w:tab w:val="right" w:leader="dot" w:pos="9062"/>
            </w:tabs>
            <w:rPr>
              <w:rFonts w:asciiTheme="minorHAnsi" w:hAnsiTheme="minorHAnsi" w:cstheme="minorBidi"/>
              <w:noProof/>
              <w:sz w:val="22"/>
            </w:rPr>
          </w:pPr>
          <w:hyperlink w:anchor="_Toc62214606" w:history="1">
            <w:r w:rsidR="00871A84" w:rsidRPr="00733CC2">
              <w:rPr>
                <w:rStyle w:val="Hipercze"/>
                <w:noProof/>
              </w:rPr>
              <w:t xml:space="preserve">5. </w:t>
            </w:r>
            <w:r w:rsidR="00871A84">
              <w:rPr>
                <w:rStyle w:val="Hipercze"/>
                <w:noProof/>
              </w:rPr>
              <w:t xml:space="preserve">      </w:t>
            </w:r>
            <w:r w:rsidR="00871A84" w:rsidRPr="00733CC2">
              <w:rPr>
                <w:rStyle w:val="Hipercze"/>
                <w:noProof/>
              </w:rPr>
              <w:t>Normy i certyfikaty</w:t>
            </w:r>
            <w:r w:rsidR="00871A84">
              <w:rPr>
                <w:noProof/>
                <w:webHidden/>
              </w:rPr>
              <w:tab/>
            </w:r>
            <w:r w:rsidR="00871A84">
              <w:rPr>
                <w:noProof/>
                <w:webHidden/>
              </w:rPr>
              <w:fldChar w:fldCharType="begin"/>
            </w:r>
            <w:r w:rsidR="00871A84">
              <w:rPr>
                <w:noProof/>
                <w:webHidden/>
              </w:rPr>
              <w:instrText xml:space="preserve"> PAGEREF _Toc62214606 \h </w:instrText>
            </w:r>
            <w:r w:rsidR="00871A84">
              <w:rPr>
                <w:noProof/>
                <w:webHidden/>
              </w:rPr>
            </w:r>
            <w:r w:rsidR="00871A84">
              <w:rPr>
                <w:noProof/>
                <w:webHidden/>
              </w:rPr>
              <w:fldChar w:fldCharType="separate"/>
            </w:r>
            <w:r w:rsidR="00871A84">
              <w:rPr>
                <w:noProof/>
                <w:webHidden/>
              </w:rPr>
              <w:t>29</w:t>
            </w:r>
            <w:r w:rsidR="00871A84">
              <w:rPr>
                <w:noProof/>
                <w:webHidden/>
              </w:rPr>
              <w:fldChar w:fldCharType="end"/>
            </w:r>
          </w:hyperlink>
        </w:p>
        <w:p w:rsidR="00871A84" w:rsidRDefault="001D2376">
          <w:pPr>
            <w:pStyle w:val="Spistreci1"/>
            <w:tabs>
              <w:tab w:val="right" w:leader="dot" w:pos="9062"/>
            </w:tabs>
            <w:rPr>
              <w:rFonts w:asciiTheme="minorHAnsi" w:hAnsiTheme="minorHAnsi" w:cstheme="minorBidi"/>
              <w:noProof/>
              <w:sz w:val="22"/>
            </w:rPr>
          </w:pPr>
          <w:hyperlink w:anchor="_Toc62214607" w:history="1">
            <w:r w:rsidR="00871A84" w:rsidRPr="00733CC2">
              <w:rPr>
                <w:rStyle w:val="Hipercze"/>
                <w:noProof/>
              </w:rPr>
              <w:t xml:space="preserve">6. </w:t>
            </w:r>
            <w:r w:rsidR="00871A84">
              <w:rPr>
                <w:rStyle w:val="Hipercze"/>
                <w:noProof/>
              </w:rPr>
              <w:t xml:space="preserve">     </w:t>
            </w:r>
            <w:r w:rsidR="00871A84" w:rsidRPr="00733CC2">
              <w:rPr>
                <w:rStyle w:val="Hipercze"/>
                <w:noProof/>
              </w:rPr>
              <w:t>Przykładowe kryteria równoważności dla niektórych certyfikatów i norm</w:t>
            </w:r>
            <w:r w:rsidR="00871A84">
              <w:rPr>
                <w:noProof/>
                <w:webHidden/>
              </w:rPr>
              <w:tab/>
            </w:r>
            <w:r w:rsidR="00871A84">
              <w:rPr>
                <w:noProof/>
                <w:webHidden/>
              </w:rPr>
              <w:fldChar w:fldCharType="begin"/>
            </w:r>
            <w:r w:rsidR="00871A84">
              <w:rPr>
                <w:noProof/>
                <w:webHidden/>
              </w:rPr>
              <w:instrText xml:space="preserve"> PAGEREF _Toc62214607 \h </w:instrText>
            </w:r>
            <w:r w:rsidR="00871A84">
              <w:rPr>
                <w:noProof/>
                <w:webHidden/>
              </w:rPr>
            </w:r>
            <w:r w:rsidR="00871A84">
              <w:rPr>
                <w:noProof/>
                <w:webHidden/>
              </w:rPr>
              <w:fldChar w:fldCharType="separate"/>
            </w:r>
            <w:r w:rsidR="00871A84">
              <w:rPr>
                <w:noProof/>
                <w:webHidden/>
              </w:rPr>
              <w:t>32</w:t>
            </w:r>
            <w:r w:rsidR="00871A84">
              <w:rPr>
                <w:noProof/>
                <w:webHidden/>
              </w:rPr>
              <w:fldChar w:fldCharType="end"/>
            </w:r>
          </w:hyperlink>
        </w:p>
        <w:p w:rsidR="00871A84" w:rsidRDefault="001D2376">
          <w:pPr>
            <w:pStyle w:val="Spistreci1"/>
            <w:tabs>
              <w:tab w:val="right" w:leader="dot" w:pos="9062"/>
            </w:tabs>
            <w:rPr>
              <w:rFonts w:asciiTheme="minorHAnsi" w:hAnsiTheme="minorHAnsi" w:cstheme="minorBidi"/>
              <w:noProof/>
              <w:sz w:val="22"/>
            </w:rPr>
          </w:pPr>
          <w:hyperlink w:anchor="_Toc62214608" w:history="1">
            <w:r w:rsidR="00871A84" w:rsidRPr="00733CC2">
              <w:rPr>
                <w:rStyle w:val="Hipercze"/>
                <w:noProof/>
              </w:rPr>
              <w:t xml:space="preserve">7. </w:t>
            </w:r>
            <w:r w:rsidR="00871A84">
              <w:rPr>
                <w:rStyle w:val="Hipercze"/>
                <w:noProof/>
              </w:rPr>
              <w:t xml:space="preserve">     </w:t>
            </w:r>
            <w:r w:rsidR="00871A84" w:rsidRPr="00733CC2">
              <w:rPr>
                <w:rStyle w:val="Hipercze"/>
                <w:noProof/>
              </w:rPr>
              <w:t>Bezpieczeństwo urządzeń</w:t>
            </w:r>
            <w:r w:rsidR="00871A84">
              <w:rPr>
                <w:noProof/>
                <w:webHidden/>
              </w:rPr>
              <w:tab/>
            </w:r>
            <w:r w:rsidR="00871A84">
              <w:rPr>
                <w:noProof/>
                <w:webHidden/>
              </w:rPr>
              <w:fldChar w:fldCharType="begin"/>
            </w:r>
            <w:r w:rsidR="00871A84">
              <w:rPr>
                <w:noProof/>
                <w:webHidden/>
              </w:rPr>
              <w:instrText xml:space="preserve"> PAGEREF _Toc62214608 \h </w:instrText>
            </w:r>
            <w:r w:rsidR="00871A84">
              <w:rPr>
                <w:noProof/>
                <w:webHidden/>
              </w:rPr>
            </w:r>
            <w:r w:rsidR="00871A84">
              <w:rPr>
                <w:noProof/>
                <w:webHidden/>
              </w:rPr>
              <w:fldChar w:fldCharType="separate"/>
            </w:r>
            <w:r w:rsidR="00871A84">
              <w:rPr>
                <w:noProof/>
                <w:webHidden/>
              </w:rPr>
              <w:t>34</w:t>
            </w:r>
            <w:r w:rsidR="00871A84">
              <w:rPr>
                <w:noProof/>
                <w:webHidden/>
              </w:rPr>
              <w:fldChar w:fldCharType="end"/>
            </w:r>
          </w:hyperlink>
        </w:p>
        <w:p w:rsidR="008F6D72" w:rsidRDefault="00C04514">
          <w:r>
            <w:rPr>
              <w:b/>
              <w:bCs/>
            </w:rPr>
            <w:fldChar w:fldCharType="end"/>
          </w:r>
        </w:p>
      </w:sdtContent>
    </w:sdt>
    <w:p w:rsidR="000871DB" w:rsidRDefault="00C85742" w:rsidP="00C85742">
      <w:pPr>
        <w:pStyle w:val="Nagwek1"/>
        <w:numPr>
          <w:ilvl w:val="0"/>
          <w:numId w:val="2"/>
        </w:numPr>
      </w:pPr>
      <w:r>
        <w:br w:type="column"/>
      </w:r>
      <w:bookmarkStart w:id="0" w:name="_Toc62214584"/>
      <w:r w:rsidR="00A6183F">
        <w:lastRenderedPageBreak/>
        <w:t>Konstruowanie SWZ w sposób nieograniczający konkurencji</w:t>
      </w:r>
      <w:bookmarkEnd w:id="0"/>
    </w:p>
    <w:p w:rsidR="00C85742" w:rsidRDefault="00C85742" w:rsidP="00C85742">
      <w:pPr>
        <w:pStyle w:val="Nagwek2"/>
        <w:numPr>
          <w:ilvl w:val="1"/>
          <w:numId w:val="2"/>
        </w:numPr>
      </w:pPr>
      <w:bookmarkStart w:id="1" w:name="_Toc62214585"/>
      <w:r>
        <w:t>Definicje urządzeń komputerowych</w:t>
      </w:r>
      <w:bookmarkEnd w:id="1"/>
    </w:p>
    <w:p w:rsidR="00C85742" w:rsidRDefault="00C85742" w:rsidP="00C85742">
      <w:r>
        <w:t xml:space="preserve">Rekomendowane jest posługiwanie się </w:t>
      </w:r>
      <w:r w:rsidR="003C6138">
        <w:t xml:space="preserve">przez zamawiających </w:t>
      </w:r>
      <w:r>
        <w:t xml:space="preserve">w opisie przedmiotu zamówienia poniższymi definicjami w celu określenia przedmiotu zamówienia. </w:t>
      </w:r>
    </w:p>
    <w:p w:rsidR="00C85742" w:rsidRDefault="00C85742" w:rsidP="00C85742">
      <w:pPr>
        <w:ind w:firstLine="0"/>
      </w:pPr>
      <w:r w:rsidRPr="00C85742">
        <w:rPr>
          <w:b/>
        </w:rPr>
        <w:t>Komputer stacjonarny</w:t>
      </w:r>
      <w:r>
        <w:t xml:space="preserve"> – urządzenie elektroniczne składające się z elementów takich jak: procesor, płyta główna, pamięć operacyjna, karta graficzna, inne karty rozszerzeń, pamięć masowa (dysk twardy), zasilacz, obudowa.</w:t>
      </w:r>
    </w:p>
    <w:p w:rsidR="00C85742" w:rsidRDefault="00C85742" w:rsidP="00C85742">
      <w:pPr>
        <w:ind w:firstLine="0"/>
      </w:pPr>
      <w:r w:rsidRPr="00C85742">
        <w:rPr>
          <w:b/>
        </w:rPr>
        <w:t>Monitor ekranowy</w:t>
      </w:r>
      <w:r>
        <w:t xml:space="preserve"> – urządzenie elektroniczne wyposażone w wyświetlacz  będący źródłem światła, przetwarzający sygnały odbierane z komputera. Monitor wyposażony jest w niezależny od innych urządzeń system zasilania.</w:t>
      </w:r>
    </w:p>
    <w:p w:rsidR="00C85742" w:rsidRDefault="00C85742" w:rsidP="00C85742">
      <w:pPr>
        <w:ind w:firstLine="0"/>
      </w:pPr>
      <w:r w:rsidRPr="00C85742">
        <w:rPr>
          <w:b/>
        </w:rPr>
        <w:t xml:space="preserve">Komputer stacjonarny typu </w:t>
      </w:r>
      <w:proofErr w:type="spellStart"/>
      <w:r w:rsidRPr="00C85742">
        <w:rPr>
          <w:b/>
        </w:rPr>
        <w:t>All</w:t>
      </w:r>
      <w:proofErr w:type="spellEnd"/>
      <w:r w:rsidRPr="00C85742">
        <w:rPr>
          <w:b/>
        </w:rPr>
        <w:t xml:space="preserve"> in One</w:t>
      </w:r>
      <w:r>
        <w:t xml:space="preserve"> – komputer, w którym podzespoły komputerowe takie jak: płyta główna, procesor czy układ graficzny zostały umieszczone w jednej obudowie z ekranem w taki sposób, który uniemożliwia odłączenie komputera od monitora, posiadający wspólny system zasilania.</w:t>
      </w:r>
    </w:p>
    <w:p w:rsidR="00C85742" w:rsidRDefault="00C85742" w:rsidP="00C85742">
      <w:pPr>
        <w:ind w:firstLine="0"/>
      </w:pPr>
      <w:r w:rsidRPr="00C85742">
        <w:rPr>
          <w:b/>
        </w:rPr>
        <w:t xml:space="preserve">Zestaw komputerowy typu </w:t>
      </w:r>
      <w:proofErr w:type="spellStart"/>
      <w:r w:rsidRPr="00C85742">
        <w:rPr>
          <w:b/>
        </w:rPr>
        <w:t>All</w:t>
      </w:r>
      <w:proofErr w:type="spellEnd"/>
      <w:r w:rsidRPr="00C85742">
        <w:rPr>
          <w:b/>
        </w:rPr>
        <w:t xml:space="preserve"> in One</w:t>
      </w:r>
      <w:r>
        <w:t xml:space="preserve"> – połączenie komputera stacjonarnego z monitorem ekranowym w zestaw za pomocą dedykowanej podstawy/wnęki, która umożliwia oddzielenie komputera od monitora.</w:t>
      </w:r>
    </w:p>
    <w:p w:rsidR="00C85742" w:rsidRDefault="00C85742" w:rsidP="00C85742">
      <w:pPr>
        <w:ind w:firstLine="0"/>
      </w:pPr>
      <w:r w:rsidRPr="00C85742">
        <w:rPr>
          <w:b/>
        </w:rPr>
        <w:t>Urządzenia peryferyjne</w:t>
      </w:r>
      <w:r>
        <w:t xml:space="preserve"> – urządzenia pozwalające na pełne wykorzystanie funkcjonalności komputera stacjonarnego, komputera stacjonarnego typu </w:t>
      </w:r>
      <w:proofErr w:type="spellStart"/>
      <w:r>
        <w:t>All</w:t>
      </w:r>
      <w:proofErr w:type="spellEnd"/>
      <w:r>
        <w:t xml:space="preserve"> in One, komputera przenośnego, tabletu. W skład urządzeń peryferyjnych zalicza się m.in. mysz, klawiatura, urządzenia drukujące, zewnętrzne nośniki danych (optyczne, masowe) itp.</w:t>
      </w:r>
    </w:p>
    <w:p w:rsidR="00C85742" w:rsidRDefault="00C85742" w:rsidP="00C85742">
      <w:pPr>
        <w:ind w:firstLine="0"/>
      </w:pPr>
      <w:r w:rsidRPr="00C85742">
        <w:rPr>
          <w:b/>
        </w:rPr>
        <w:t>Zestaw komputerowy</w:t>
      </w:r>
      <w:r>
        <w:t xml:space="preserve"> – w skład zestawu wchodzą: komputer stacjonarny, komputer stacjonarny typu </w:t>
      </w:r>
      <w:proofErr w:type="spellStart"/>
      <w:r>
        <w:t>All</w:t>
      </w:r>
      <w:proofErr w:type="spellEnd"/>
      <w:r>
        <w:t xml:space="preserve"> in One, zestaw komputerowy typu </w:t>
      </w:r>
      <w:proofErr w:type="spellStart"/>
      <w:r>
        <w:t>All</w:t>
      </w:r>
      <w:proofErr w:type="spellEnd"/>
      <w:r>
        <w:t xml:space="preserve"> in One, laptop (we wszystkich jego odmianach), monitor ekranowy, urządzenia peryferyjne, system operacyjny. </w:t>
      </w:r>
    </w:p>
    <w:p w:rsidR="00C85742" w:rsidRDefault="00C85742" w:rsidP="00C85742">
      <w:pPr>
        <w:ind w:firstLine="0"/>
      </w:pPr>
      <w:r w:rsidRPr="00C85742">
        <w:rPr>
          <w:b/>
        </w:rPr>
        <w:t>Komputer przenośny</w:t>
      </w:r>
      <w:r>
        <w:t xml:space="preserve"> – urządzenie elektroniczne, składające się z elementów takich jak: procesor, płyta główna, pamięć operacyjna, karta graficzna, karty rozszerzeń, pamięć masowa (dysk twardy), bateria, kamera, mikrofon, zintegrowana klawiatura, urządzenie wskazujące i wyświetlacz.</w:t>
      </w:r>
    </w:p>
    <w:p w:rsidR="00C85742" w:rsidRDefault="00C85742" w:rsidP="00C85742">
      <w:pPr>
        <w:ind w:firstLine="0"/>
      </w:pPr>
      <w:r w:rsidRPr="00C85742">
        <w:rPr>
          <w:b/>
        </w:rPr>
        <w:t>Komputer przenośny typu „wzmocniony”</w:t>
      </w:r>
      <w:r>
        <w:t xml:space="preserve"> – komputer przenośny o wzmocnionej konstrukcji mechanicznej, np. przetestowany wg. norm MIL-STD-810G.</w:t>
      </w:r>
    </w:p>
    <w:p w:rsidR="00C85742" w:rsidRDefault="00C85742" w:rsidP="00C85742">
      <w:pPr>
        <w:ind w:firstLine="0"/>
      </w:pPr>
      <w:r w:rsidRPr="00C85742">
        <w:rPr>
          <w:b/>
        </w:rPr>
        <w:lastRenderedPageBreak/>
        <w:t xml:space="preserve">Komputer przenośny </w:t>
      </w:r>
      <w:proofErr w:type="spellStart"/>
      <w:r w:rsidRPr="00C85742">
        <w:rPr>
          <w:b/>
        </w:rPr>
        <w:t>konwertowalny</w:t>
      </w:r>
      <w:proofErr w:type="spellEnd"/>
      <w:r w:rsidRPr="00C85742">
        <w:rPr>
          <w:b/>
        </w:rPr>
        <w:t xml:space="preserve"> typu 2 w 1</w:t>
      </w:r>
      <w:r>
        <w:t xml:space="preserve"> –  komputer przenośny z możliwością obracania wyświetlacza o 360 stopni w celu uzyskania funkcjonalności typu „tablet”.</w:t>
      </w:r>
    </w:p>
    <w:p w:rsidR="00C85742" w:rsidRDefault="00C85742" w:rsidP="00C85742">
      <w:pPr>
        <w:ind w:firstLine="0"/>
      </w:pPr>
      <w:r w:rsidRPr="00C85742">
        <w:rPr>
          <w:b/>
        </w:rPr>
        <w:t>Komputer przenośny typu 2w1 z odłączaną klawiaturą</w:t>
      </w:r>
      <w:r>
        <w:t xml:space="preserve"> – komputer przenośny z odłączaną klawiaturą fizyczną.</w:t>
      </w:r>
    </w:p>
    <w:p w:rsidR="00C85742" w:rsidRDefault="00C85742" w:rsidP="00C85742">
      <w:pPr>
        <w:ind w:firstLine="0"/>
      </w:pPr>
      <w:r w:rsidRPr="00C85742">
        <w:rPr>
          <w:b/>
        </w:rPr>
        <w:t xml:space="preserve">Tablet </w:t>
      </w:r>
      <w:r>
        <w:t>– komputer przenośny, posiadający wbudowany dotykowy wyświetlacz, nieposiadający fizycznej klawiatury.</w:t>
      </w:r>
    </w:p>
    <w:p w:rsidR="00C85742" w:rsidRDefault="00C85742" w:rsidP="00C85742">
      <w:pPr>
        <w:ind w:firstLine="0"/>
      </w:pPr>
      <w:r w:rsidRPr="00C85742">
        <w:rPr>
          <w:b/>
        </w:rPr>
        <w:t>Komputer stacjonarny typu „stacja graficzna”</w:t>
      </w:r>
      <w:r>
        <w:t xml:space="preserve"> – Wyspecjalizowany komputer stacjonarny charakteryzujący dużą mocą obliczeniową wyposażony w procesory serwerowe z obsługa dużej ilości pamięci operacyjnej wspierające technologię korekcji błędów, wyposażony w dedykowane układy graficzne przeznaczone do pracy ze specjalistycznym oprogramowaniem np. obróbka grafiki 3D, rendering wideo</w:t>
      </w:r>
      <w:r w:rsidR="001C3FA0">
        <w:t>,</w:t>
      </w:r>
      <w:r>
        <w:t xml:space="preserve"> CAD. Stacja graficzna powinna być certyfikowana przez producenta oprogramowania pod kątem zgodności z ISV (Workstation ISV </w:t>
      </w:r>
      <w:proofErr w:type="spellStart"/>
      <w:r>
        <w:t>Certification</w:t>
      </w:r>
      <w:proofErr w:type="spellEnd"/>
      <w:r>
        <w:t xml:space="preserve">) </w:t>
      </w:r>
    </w:p>
    <w:p w:rsidR="00C85742" w:rsidRDefault="00C85742" w:rsidP="00C85742">
      <w:pPr>
        <w:ind w:firstLine="0"/>
      </w:pPr>
      <w:r w:rsidRPr="00C85742">
        <w:rPr>
          <w:b/>
        </w:rPr>
        <w:t>Komputer przenośny typu „mobilna stacja graficzna”</w:t>
      </w:r>
      <w:r>
        <w:t xml:space="preserve"> – Wyspecjalizowany  komputer przenośny charakteryzujący dużą mocą obliczeniową wyposażony w dedykowane układy graficzne przeznaczone do pracy ze specjalistycznym oprogramowaniem np. obróbka grafiki 3D, rendering wideo)CAD.</w:t>
      </w:r>
      <w:r w:rsidR="003B2121">
        <w:t xml:space="preserve"> </w:t>
      </w:r>
      <w:r>
        <w:t xml:space="preserve">Stacja graficzna powinna być certyfikowana przez producenta oprogramowania pod kątem zgodności z ISV (Workstation ISV </w:t>
      </w:r>
      <w:proofErr w:type="spellStart"/>
      <w:r>
        <w:t>Certification</w:t>
      </w:r>
      <w:proofErr w:type="spellEnd"/>
      <w:r>
        <w:t>).</w:t>
      </w:r>
    </w:p>
    <w:p w:rsidR="00C85742" w:rsidRDefault="00C85742" w:rsidP="00C85742">
      <w:pPr>
        <w:ind w:firstLine="0"/>
      </w:pPr>
      <w:r w:rsidRPr="00C85742">
        <w:rPr>
          <w:b/>
        </w:rPr>
        <w:t>Komputer przenośny do pracy w trudnych warunkach</w:t>
      </w:r>
      <w:r>
        <w:t xml:space="preserve"> – wyspecjalizowany komputer przenośny przystosowany do pracy w trudnych warunkach środowiskowych (niska, wysoka temperatura, zwiększony poziom wilgoci, kurz, odporność na zalania, wibracje). Przetestowany wg. norm MIL-STD-810G oraz MIL-STD-461F.</w:t>
      </w:r>
    </w:p>
    <w:p w:rsidR="00C85742" w:rsidRDefault="00C85742" w:rsidP="00C85742">
      <w:pPr>
        <w:ind w:firstLine="0"/>
      </w:pPr>
    </w:p>
    <w:p w:rsidR="00C85742" w:rsidRDefault="00C85742" w:rsidP="00C85742">
      <w:pPr>
        <w:pStyle w:val="Nagwek2"/>
        <w:numPr>
          <w:ilvl w:val="1"/>
          <w:numId w:val="2"/>
        </w:numPr>
      </w:pPr>
      <w:bookmarkStart w:id="2" w:name="_Toc62214586"/>
      <w:r>
        <w:t>Zasada ogólna opisu przedmiotu zamówienia na dostawę urządzeń komputerowych</w:t>
      </w:r>
      <w:bookmarkEnd w:id="2"/>
    </w:p>
    <w:p w:rsidR="00C85742" w:rsidRPr="00C85742" w:rsidRDefault="00C85742" w:rsidP="00C85742">
      <w:pPr>
        <w:rPr>
          <w:u w:val="single"/>
        </w:rPr>
      </w:pPr>
      <w:r w:rsidRPr="00C85742">
        <w:rPr>
          <w:u w:val="single"/>
        </w:rPr>
        <w:t>Podstawową zasadą opisu przedmiotu zamówienia na dostawę urządzeń komputerowych powinno być specyfikowanie właściwości użytkowych urządzeń, a nie ich szczegółowych parametrów konstrukcyjnych, przy czym zbiór wymaganych parametrów użytkowych winien wynikać ze specyfiki dziedziny zastosowań, dla której urządzenia komputerowe są zamawiane.</w:t>
      </w:r>
    </w:p>
    <w:p w:rsidR="00C85742" w:rsidRDefault="00C85742" w:rsidP="00C85742">
      <w:r>
        <w:t xml:space="preserve">Potrzeby zamawiającego są bowiem wyznaczone nie rozwiązaniami technicznymi zawartymi w zamawianym sprzęcie, lecz atrybutami określającymi przydatność urządzenia </w:t>
      </w:r>
      <w:r>
        <w:lastRenderedPageBreak/>
        <w:t>komputerowego do realizacji zadań zamawiającego, czyli poprzez właściwości użytkowe tego urządzenia.</w:t>
      </w:r>
      <w:r w:rsidR="008471D3">
        <w:t xml:space="preserve"> Te zaś wyznaczone są przede wszystkim:</w:t>
      </w:r>
    </w:p>
    <w:p w:rsidR="008471D3" w:rsidRDefault="008471D3" w:rsidP="00641095">
      <w:pPr>
        <w:pStyle w:val="Akapitzlist"/>
        <w:numPr>
          <w:ilvl w:val="0"/>
          <w:numId w:val="25"/>
        </w:numPr>
      </w:pPr>
      <w:r>
        <w:t>wydajnością  urządzenia komputerowego popartą przeprowadzonym testem;</w:t>
      </w:r>
    </w:p>
    <w:p w:rsidR="008471D3" w:rsidRDefault="008471D3" w:rsidP="00641095">
      <w:pPr>
        <w:pStyle w:val="Akapitzlist"/>
        <w:numPr>
          <w:ilvl w:val="0"/>
          <w:numId w:val="25"/>
        </w:numPr>
      </w:pPr>
      <w:r>
        <w:t>ergonomią pracy;</w:t>
      </w:r>
    </w:p>
    <w:p w:rsidR="008471D3" w:rsidRDefault="008471D3" w:rsidP="00641095">
      <w:pPr>
        <w:pStyle w:val="Akapitzlist"/>
        <w:numPr>
          <w:ilvl w:val="0"/>
          <w:numId w:val="25"/>
        </w:numPr>
      </w:pPr>
      <w:r>
        <w:t>zgodnością  urządzenia komputerowego z oprogramowaniem wykorzystywanym przez zamawiającego;</w:t>
      </w:r>
    </w:p>
    <w:p w:rsidR="008471D3" w:rsidRDefault="008471D3" w:rsidP="00641095">
      <w:pPr>
        <w:pStyle w:val="Akapitzlist"/>
        <w:numPr>
          <w:ilvl w:val="0"/>
          <w:numId w:val="25"/>
        </w:numPr>
      </w:pPr>
      <w:r>
        <w:t>cykl</w:t>
      </w:r>
      <w:r w:rsidR="0011691D">
        <w:t>em</w:t>
      </w:r>
      <w:r>
        <w:t xml:space="preserve"> życia produktu, w tym okres</w:t>
      </w:r>
      <w:r w:rsidR="00B53F00">
        <w:t>em</w:t>
      </w:r>
      <w:r>
        <w:t xml:space="preserve"> dostępności podzespołów do napraw;</w:t>
      </w:r>
    </w:p>
    <w:p w:rsidR="008471D3" w:rsidRDefault="008471D3" w:rsidP="00641095">
      <w:pPr>
        <w:pStyle w:val="Akapitzlist"/>
        <w:numPr>
          <w:ilvl w:val="0"/>
          <w:numId w:val="25"/>
        </w:numPr>
      </w:pPr>
      <w:r>
        <w:t>jakością procesu wytwarzania</w:t>
      </w:r>
      <w:r w:rsidR="00DE4677">
        <w:t>,</w:t>
      </w:r>
      <w:r>
        <w:t xml:space="preserve"> decydującą o trwałości i niezawodności sprzętu na podstawie  odpowiednich norm;</w:t>
      </w:r>
    </w:p>
    <w:p w:rsidR="008471D3" w:rsidRDefault="008471D3" w:rsidP="00641095">
      <w:pPr>
        <w:pStyle w:val="Akapitzlist"/>
        <w:numPr>
          <w:ilvl w:val="0"/>
          <w:numId w:val="25"/>
        </w:numPr>
      </w:pPr>
      <w:r>
        <w:t>warunkami gwarancji świadczonej przez  producenta.</w:t>
      </w:r>
    </w:p>
    <w:p w:rsidR="008471D3" w:rsidRDefault="008471D3" w:rsidP="008471D3">
      <w:r w:rsidRPr="008471D3">
        <w:t>W szczególnych, wyjątkowych, przypadkach wskazanych w części pt.: „Odstęp</w:t>
      </w:r>
      <w:r>
        <w:t xml:space="preserve">stwa od rekomendacji”, lista ta </w:t>
      </w:r>
      <w:r w:rsidRPr="008471D3">
        <w:t>może zawierać</w:t>
      </w:r>
      <w:r>
        <w:t xml:space="preserve"> </w:t>
      </w:r>
      <w:r w:rsidRPr="008471D3">
        <w:t>pewne parametry charakteryzujące detale konstrukcji sprzętu, jeśli umieszczenie tych parametrów wśród wymagań jest niezbędne z punktu widzenia przewidywanego zastosowania zamawianych urządzeń. W tym zakresie stosuje się szczegółowe wytyczne zawarte w sekcji „Odstępstwa od rekomendacji”.</w:t>
      </w:r>
    </w:p>
    <w:p w:rsidR="008471D3" w:rsidRDefault="008471D3" w:rsidP="008471D3"/>
    <w:p w:rsidR="008471D3" w:rsidRDefault="008471D3" w:rsidP="008471D3">
      <w:pPr>
        <w:pStyle w:val="Nagwek2"/>
        <w:numPr>
          <w:ilvl w:val="1"/>
          <w:numId w:val="2"/>
        </w:numPr>
      </w:pPr>
      <w:bookmarkStart w:id="3" w:name="_Toc62214587"/>
      <w:r>
        <w:t>Podstawowe zasady opisu przedmiotu zamówienia</w:t>
      </w:r>
      <w:bookmarkEnd w:id="3"/>
    </w:p>
    <w:p w:rsidR="008471D3" w:rsidRDefault="008471D3" w:rsidP="008471D3">
      <w:r w:rsidRPr="008471D3">
        <w:t xml:space="preserve">W Tabeli 1 przedstawiono listę atrybutów urządzenia komputerowego wraz z rekomendacjami wskazującymi zalecany sposób opisu wymagań stawianych zamawianym  urządzeniom komputerowym. Lista ta nie może być traktowana jako zamknięta </w:t>
      </w:r>
      <w:r w:rsidR="00685A03">
        <w:t xml:space="preserve">i </w:t>
      </w:r>
      <w:r w:rsidRPr="008471D3">
        <w:t>w razie potrzeby może zostać odpowiednio uzupełniona przez zamawiającego o dodatkowe atrybuty. Te zaś winny zostać opisane w sposób nienaruszający ogólnej zasady opisu przedmiotu zamówienia na dostawę urządzeń komputerowych w sposób nie ograniczający uczciwej konkurencji, z zastrzeżeniem, że zamawiający mają prawo stawiać wymagania dostarczenia urządzeń komputerowych wysokiej jakości (tj. wyższej niż przeciętna) pod warunkiem, iż są to w stanie uzasadnić, mając na uwadze przeznaczenie tego urządzenia.</w:t>
      </w:r>
    </w:p>
    <w:p w:rsidR="009610DB" w:rsidRDefault="009610DB" w:rsidP="008471D3"/>
    <w:p w:rsidR="009610DB" w:rsidRDefault="009610DB" w:rsidP="008471D3"/>
    <w:p w:rsidR="009610DB" w:rsidRDefault="009610DB" w:rsidP="008471D3"/>
    <w:p w:rsidR="003A2F98" w:rsidRDefault="003A2F98" w:rsidP="008471D3">
      <w:pPr>
        <w:rPr>
          <w:b/>
        </w:rPr>
      </w:pPr>
    </w:p>
    <w:p w:rsidR="008471D3" w:rsidRDefault="008471D3" w:rsidP="008471D3">
      <w:r w:rsidRPr="008471D3">
        <w:rPr>
          <w:b/>
        </w:rPr>
        <w:lastRenderedPageBreak/>
        <w:t>Tabela 1</w:t>
      </w:r>
      <w:r>
        <w:t>. Elementy opisu przedmiotu urządzenia na dostawę urządzeń komputerowych</w:t>
      </w:r>
    </w:p>
    <w:tbl>
      <w:tblPr>
        <w:tblStyle w:val="Tabela-Siatka"/>
        <w:tblW w:w="0" w:type="auto"/>
        <w:tblLook w:val="04A0" w:firstRow="1" w:lastRow="0" w:firstColumn="1" w:lastColumn="0" w:noHBand="0" w:noVBand="1"/>
      </w:tblPr>
      <w:tblGrid>
        <w:gridCol w:w="2830"/>
        <w:gridCol w:w="6232"/>
      </w:tblGrid>
      <w:tr w:rsidR="008471D3" w:rsidTr="003A2F98">
        <w:tc>
          <w:tcPr>
            <w:tcW w:w="2830" w:type="dxa"/>
          </w:tcPr>
          <w:p w:rsidR="008471D3" w:rsidRPr="008471D3" w:rsidRDefault="008471D3" w:rsidP="008471D3">
            <w:pPr>
              <w:ind w:firstLine="0"/>
              <w:jc w:val="center"/>
              <w:rPr>
                <w:i/>
              </w:rPr>
            </w:pPr>
            <w:r>
              <w:rPr>
                <w:i/>
              </w:rPr>
              <w:t>Atrybut</w:t>
            </w:r>
          </w:p>
        </w:tc>
        <w:tc>
          <w:tcPr>
            <w:tcW w:w="6232" w:type="dxa"/>
          </w:tcPr>
          <w:p w:rsidR="008471D3" w:rsidRPr="008471D3" w:rsidRDefault="008471D3" w:rsidP="008471D3">
            <w:pPr>
              <w:ind w:firstLine="0"/>
              <w:jc w:val="center"/>
              <w:rPr>
                <w:i/>
              </w:rPr>
            </w:pPr>
            <w:r>
              <w:rPr>
                <w:i/>
              </w:rPr>
              <w:t>Sposób określania</w:t>
            </w:r>
          </w:p>
        </w:tc>
      </w:tr>
      <w:tr w:rsidR="008471D3" w:rsidTr="003A2F98">
        <w:tc>
          <w:tcPr>
            <w:tcW w:w="2830" w:type="dxa"/>
            <w:vAlign w:val="center"/>
          </w:tcPr>
          <w:p w:rsidR="008471D3" w:rsidRDefault="008471D3" w:rsidP="008471D3">
            <w:pPr>
              <w:ind w:firstLine="0"/>
              <w:jc w:val="left"/>
            </w:pPr>
            <w:r>
              <w:t>Typ</w:t>
            </w:r>
          </w:p>
        </w:tc>
        <w:tc>
          <w:tcPr>
            <w:tcW w:w="6232" w:type="dxa"/>
            <w:vAlign w:val="center"/>
          </w:tcPr>
          <w:p w:rsidR="008471D3" w:rsidRDefault="008471D3" w:rsidP="00445E4D">
            <w:pPr>
              <w:ind w:firstLine="0"/>
            </w:pPr>
            <w:r w:rsidRPr="008471D3">
              <w:t>Określa jaki typ urządzeń komputerowych jest przedmiotem zamówienia</w:t>
            </w:r>
            <w:r w:rsidR="00A62FDB">
              <w:t>.</w:t>
            </w:r>
          </w:p>
        </w:tc>
      </w:tr>
      <w:tr w:rsidR="008471D3" w:rsidTr="003A2F98">
        <w:tc>
          <w:tcPr>
            <w:tcW w:w="2830" w:type="dxa"/>
            <w:vAlign w:val="center"/>
          </w:tcPr>
          <w:p w:rsidR="008471D3" w:rsidRDefault="008471D3" w:rsidP="008471D3">
            <w:pPr>
              <w:ind w:firstLine="0"/>
              <w:jc w:val="left"/>
            </w:pPr>
            <w:r>
              <w:t>Zastosowanie</w:t>
            </w:r>
          </w:p>
        </w:tc>
        <w:tc>
          <w:tcPr>
            <w:tcW w:w="6232" w:type="dxa"/>
            <w:vAlign w:val="center"/>
          </w:tcPr>
          <w:p w:rsidR="008471D3" w:rsidRDefault="008471D3" w:rsidP="002D5F7B">
            <w:pPr>
              <w:ind w:firstLine="0"/>
            </w:pPr>
            <w:r>
              <w:t xml:space="preserve">Wskazuje obszar zastosowań, w którym będzie stosowane dane  urządzenie  komputerowe – np. aplikacje biurowe, stacja graficzna, aplikacje edukacyjne, aplikacje obliczeniowe, </w:t>
            </w:r>
            <w:r w:rsidR="002D5F7B">
              <w:t>itp.</w:t>
            </w:r>
          </w:p>
        </w:tc>
      </w:tr>
      <w:tr w:rsidR="008471D3" w:rsidTr="003A2F98">
        <w:tc>
          <w:tcPr>
            <w:tcW w:w="2830" w:type="dxa"/>
            <w:vAlign w:val="center"/>
          </w:tcPr>
          <w:p w:rsidR="008471D3" w:rsidRDefault="008471D3" w:rsidP="008471D3">
            <w:pPr>
              <w:ind w:firstLine="0"/>
              <w:jc w:val="left"/>
            </w:pPr>
            <w:r>
              <w:t>Wydajność obliczeniowa</w:t>
            </w:r>
          </w:p>
        </w:tc>
        <w:tc>
          <w:tcPr>
            <w:tcW w:w="6232" w:type="dxa"/>
            <w:vAlign w:val="center"/>
          </w:tcPr>
          <w:p w:rsidR="008471D3" w:rsidRDefault="008471D3" w:rsidP="00445E4D">
            <w:pPr>
              <w:ind w:firstLine="0"/>
            </w:pPr>
            <w:r>
              <w:t>Określona wynikami obiektywnych, tj. nie optymalizowanych</w:t>
            </w:r>
            <w:r w:rsidR="00445E4D">
              <w:t xml:space="preserve"> dla podzespołów </w:t>
            </w:r>
            <w:r>
              <w:t>wyb</w:t>
            </w:r>
            <w:r w:rsidR="00445E4D">
              <w:t xml:space="preserve">ranego producenta(ów) </w:t>
            </w:r>
            <w:r>
              <w:t>testów aplikacyjnych.</w:t>
            </w:r>
          </w:p>
        </w:tc>
      </w:tr>
      <w:tr w:rsidR="008471D3" w:rsidTr="003A2F98">
        <w:tc>
          <w:tcPr>
            <w:tcW w:w="2830" w:type="dxa"/>
            <w:vAlign w:val="center"/>
          </w:tcPr>
          <w:p w:rsidR="008471D3" w:rsidRDefault="008471D3" w:rsidP="008471D3">
            <w:pPr>
              <w:ind w:firstLine="0"/>
              <w:jc w:val="left"/>
            </w:pPr>
            <w:r>
              <w:t>Pamięć operacyjna</w:t>
            </w:r>
          </w:p>
        </w:tc>
        <w:tc>
          <w:tcPr>
            <w:tcW w:w="6232" w:type="dxa"/>
            <w:vAlign w:val="center"/>
          </w:tcPr>
          <w:p w:rsidR="008471D3" w:rsidRDefault="00445E4D" w:rsidP="00445E4D">
            <w:pPr>
              <w:ind w:firstLine="0"/>
            </w:pPr>
            <w:r>
              <w:t>Minimalna wymagana  pojemność  pamięci,  maksymalna obsługiwana pojemność, zapewnienie wolnego miejsca na rozszerzenie pamięci.</w:t>
            </w:r>
          </w:p>
        </w:tc>
      </w:tr>
      <w:tr w:rsidR="008471D3" w:rsidTr="003A2F98">
        <w:tc>
          <w:tcPr>
            <w:tcW w:w="2830" w:type="dxa"/>
            <w:vAlign w:val="center"/>
          </w:tcPr>
          <w:p w:rsidR="008471D3" w:rsidRDefault="008471D3" w:rsidP="008471D3">
            <w:pPr>
              <w:ind w:firstLine="0"/>
              <w:jc w:val="left"/>
            </w:pPr>
            <w:r>
              <w:t>Wydajność grafiki</w:t>
            </w:r>
          </w:p>
        </w:tc>
        <w:tc>
          <w:tcPr>
            <w:tcW w:w="6232" w:type="dxa"/>
            <w:vAlign w:val="center"/>
          </w:tcPr>
          <w:p w:rsidR="008471D3" w:rsidRDefault="00445E4D" w:rsidP="00445E4D">
            <w:pPr>
              <w:ind w:firstLine="0"/>
            </w:pPr>
            <w:r>
              <w:t>Określona wynikami obiektywnych testów   (benchmark) graficznych lub testów aplikacyjnych mierzących wydajność przetwarzania grafiki w rzeczywistych aplikacjach.</w:t>
            </w:r>
          </w:p>
        </w:tc>
      </w:tr>
      <w:tr w:rsidR="008471D3" w:rsidTr="003A2F98">
        <w:tc>
          <w:tcPr>
            <w:tcW w:w="2830" w:type="dxa"/>
            <w:vAlign w:val="center"/>
          </w:tcPr>
          <w:p w:rsidR="008471D3" w:rsidRDefault="008471D3" w:rsidP="008471D3">
            <w:pPr>
              <w:ind w:firstLine="0"/>
              <w:jc w:val="left"/>
            </w:pPr>
            <w:r>
              <w:t>Monitor/wyświetlacz</w:t>
            </w:r>
          </w:p>
        </w:tc>
        <w:tc>
          <w:tcPr>
            <w:tcW w:w="6232" w:type="dxa"/>
            <w:vAlign w:val="center"/>
          </w:tcPr>
          <w:p w:rsidR="008471D3" w:rsidRDefault="00445E4D" w:rsidP="004503CB">
            <w:pPr>
              <w:ind w:firstLine="0"/>
            </w:pPr>
            <w:r>
              <w:t>Typ wyświetlacza, obszar aktywny, kontrast typowy, jasność, czas</w:t>
            </w:r>
            <w:r w:rsidR="004503CB">
              <w:t xml:space="preserve"> reakcji, rozdzielczość </w:t>
            </w:r>
            <w:r>
              <w:t>natywna, wymagane</w:t>
            </w:r>
            <w:r w:rsidR="004503CB">
              <w:t xml:space="preserve"> </w:t>
            </w:r>
            <w:r>
              <w:t>certyfikaty zgodności ze standardami  jakości,</w:t>
            </w:r>
            <w:r w:rsidR="004503CB">
              <w:t xml:space="preserve"> inne wymagane w</w:t>
            </w:r>
            <w:r>
              <w:t>łaściwości</w:t>
            </w:r>
            <w:r w:rsidR="004503CB">
              <w:t xml:space="preserve"> </w:t>
            </w:r>
            <w:r>
              <w:t>(warstwa antyodblaskowa, złącza, możliwość zabezpieczenia</w:t>
            </w:r>
            <w:r w:rsidR="004503CB">
              <w:t xml:space="preserve"> </w:t>
            </w:r>
            <w:r>
              <w:t>np. przez zapięcie linki).</w:t>
            </w:r>
          </w:p>
        </w:tc>
      </w:tr>
      <w:tr w:rsidR="008471D3" w:rsidTr="003A2F98">
        <w:tc>
          <w:tcPr>
            <w:tcW w:w="2830" w:type="dxa"/>
            <w:vAlign w:val="center"/>
          </w:tcPr>
          <w:p w:rsidR="008471D3" w:rsidRDefault="008471D3" w:rsidP="008471D3">
            <w:pPr>
              <w:ind w:firstLine="0"/>
              <w:jc w:val="left"/>
            </w:pPr>
            <w:r>
              <w:t>Parametry pamięci masowej</w:t>
            </w:r>
          </w:p>
        </w:tc>
        <w:tc>
          <w:tcPr>
            <w:tcW w:w="6232" w:type="dxa"/>
            <w:vAlign w:val="center"/>
          </w:tcPr>
          <w:p w:rsidR="008471D3" w:rsidRDefault="004974C8" w:rsidP="004503CB">
            <w:pPr>
              <w:ind w:firstLine="0"/>
            </w:pPr>
            <w:r>
              <w:t>Minimalna wymagana pojemność,  typ nośnika.</w:t>
            </w:r>
            <w:r w:rsidR="004503CB">
              <w:t xml:space="preserve"> </w:t>
            </w:r>
            <w:r w:rsidR="004503CB">
              <w:tab/>
            </w:r>
          </w:p>
        </w:tc>
      </w:tr>
      <w:tr w:rsidR="008471D3" w:rsidTr="003A2F98">
        <w:tc>
          <w:tcPr>
            <w:tcW w:w="2830" w:type="dxa"/>
            <w:vAlign w:val="center"/>
          </w:tcPr>
          <w:p w:rsidR="008471D3" w:rsidRDefault="004503CB" w:rsidP="008471D3">
            <w:pPr>
              <w:ind w:firstLine="0"/>
              <w:jc w:val="left"/>
            </w:pPr>
            <w:r>
              <w:t>Wyposażenie multimedialne</w:t>
            </w:r>
          </w:p>
        </w:tc>
        <w:tc>
          <w:tcPr>
            <w:tcW w:w="6232" w:type="dxa"/>
            <w:vAlign w:val="center"/>
          </w:tcPr>
          <w:p w:rsidR="008471D3" w:rsidRDefault="004503CB" w:rsidP="004503CB">
            <w:pPr>
              <w:ind w:firstLine="0"/>
            </w:pPr>
            <w:r>
              <w:t>Wskazanie, w jakie urządzenia multimedialne ma być wyposażone  urządzenie komputerowe – np. mikrofon, głośniki, kamera, rodzaje wyjść sygnału  wideo itd.</w:t>
            </w:r>
            <w:r>
              <w:tab/>
            </w:r>
            <w:r>
              <w:tab/>
            </w:r>
          </w:p>
        </w:tc>
      </w:tr>
      <w:tr w:rsidR="008471D3" w:rsidTr="003A2F98">
        <w:tc>
          <w:tcPr>
            <w:tcW w:w="2830" w:type="dxa"/>
            <w:vAlign w:val="center"/>
          </w:tcPr>
          <w:p w:rsidR="008471D3" w:rsidRDefault="004503CB" w:rsidP="008471D3">
            <w:pPr>
              <w:ind w:firstLine="0"/>
              <w:jc w:val="left"/>
            </w:pPr>
            <w:r>
              <w:t>Wymagania dotyczące baterii / zasilania (dot. komputerów przenośnych)</w:t>
            </w:r>
          </w:p>
        </w:tc>
        <w:tc>
          <w:tcPr>
            <w:tcW w:w="6232" w:type="dxa"/>
            <w:vAlign w:val="center"/>
          </w:tcPr>
          <w:p w:rsidR="008471D3" w:rsidRDefault="004503CB" w:rsidP="00445E4D">
            <w:pPr>
              <w:ind w:firstLine="0"/>
            </w:pPr>
            <w:r w:rsidRPr="004503CB">
              <w:t>Czas pracy na akumulatorze potwierdzony niezależnymi testami aplikacyjnymi</w:t>
            </w:r>
            <w:r w:rsidR="004974C8">
              <w:t>.</w:t>
            </w:r>
          </w:p>
        </w:tc>
      </w:tr>
      <w:tr w:rsidR="008471D3" w:rsidTr="003A2F98">
        <w:tc>
          <w:tcPr>
            <w:tcW w:w="2830" w:type="dxa"/>
            <w:vAlign w:val="center"/>
          </w:tcPr>
          <w:p w:rsidR="008471D3" w:rsidRDefault="004503CB" w:rsidP="008471D3">
            <w:pPr>
              <w:ind w:firstLine="0"/>
              <w:jc w:val="left"/>
            </w:pPr>
            <w:r>
              <w:lastRenderedPageBreak/>
              <w:t>Zgodność z systemami operacyjnymi</w:t>
            </w:r>
          </w:p>
        </w:tc>
        <w:tc>
          <w:tcPr>
            <w:tcW w:w="6232" w:type="dxa"/>
            <w:vAlign w:val="center"/>
          </w:tcPr>
          <w:p w:rsidR="008471D3" w:rsidRDefault="004503CB" w:rsidP="004503CB">
            <w:pPr>
              <w:ind w:firstLine="0"/>
            </w:pPr>
            <w:r>
              <w:t>Na podstawie  certyfikatów  zgodności  wydawanych  przez producentów oprogramowania.</w:t>
            </w:r>
          </w:p>
        </w:tc>
      </w:tr>
      <w:tr w:rsidR="008471D3" w:rsidTr="003A2F98">
        <w:tc>
          <w:tcPr>
            <w:tcW w:w="2830" w:type="dxa"/>
            <w:vAlign w:val="center"/>
          </w:tcPr>
          <w:p w:rsidR="008471D3" w:rsidRDefault="004503CB" w:rsidP="008471D3">
            <w:pPr>
              <w:ind w:firstLine="0"/>
              <w:jc w:val="left"/>
            </w:pPr>
            <w:r>
              <w:t>Waga (dot. komputerów przenośnych)</w:t>
            </w:r>
          </w:p>
        </w:tc>
        <w:tc>
          <w:tcPr>
            <w:tcW w:w="6232" w:type="dxa"/>
            <w:vAlign w:val="center"/>
          </w:tcPr>
          <w:p w:rsidR="008471D3" w:rsidRDefault="009F07EE" w:rsidP="00445E4D">
            <w:pPr>
              <w:ind w:firstLine="0"/>
            </w:pPr>
            <w:r>
              <w:t>O</w:t>
            </w:r>
            <w:r w:rsidR="004503CB" w:rsidRPr="004503CB">
              <w:t>kreślone wymaganie względem wagi komputera przenośnego – np. waga kompletnego urządzenia, tj. komputera z zasilaczem i baterią albo np. samego komputera z baterią</w:t>
            </w:r>
            <w:r w:rsidR="00A62FDB">
              <w:t>.</w:t>
            </w:r>
          </w:p>
        </w:tc>
      </w:tr>
      <w:tr w:rsidR="008471D3" w:rsidTr="003A2F98">
        <w:tc>
          <w:tcPr>
            <w:tcW w:w="2830" w:type="dxa"/>
            <w:vAlign w:val="center"/>
          </w:tcPr>
          <w:p w:rsidR="008471D3" w:rsidRDefault="004503CB" w:rsidP="008471D3">
            <w:pPr>
              <w:ind w:firstLine="0"/>
              <w:jc w:val="left"/>
            </w:pPr>
            <w:r>
              <w:t>Ergonomia</w:t>
            </w:r>
          </w:p>
        </w:tc>
        <w:tc>
          <w:tcPr>
            <w:tcW w:w="6232" w:type="dxa"/>
            <w:vAlign w:val="center"/>
          </w:tcPr>
          <w:p w:rsidR="008471D3" w:rsidRDefault="004503CB" w:rsidP="004503CB">
            <w:pPr>
              <w:ind w:firstLine="0"/>
            </w:pPr>
            <w:r>
              <w:t>Parametry opisujące głośność zestawu  komputerowego  i inne parametry wpływające na komfort pracy (jasność i kontrast wyświetlacza, przekątna ekranu, możliwość dostosowania położenia, dostępność i łatwe korzystanie z portów itp.).</w:t>
            </w:r>
          </w:p>
        </w:tc>
      </w:tr>
      <w:tr w:rsidR="008471D3" w:rsidTr="003A2F98">
        <w:tc>
          <w:tcPr>
            <w:tcW w:w="2830" w:type="dxa"/>
            <w:vAlign w:val="center"/>
          </w:tcPr>
          <w:p w:rsidR="008471D3" w:rsidRDefault="004503CB" w:rsidP="008471D3">
            <w:pPr>
              <w:ind w:firstLine="0"/>
              <w:jc w:val="left"/>
            </w:pPr>
            <w:r>
              <w:t>Niezawodność / jakość wytwarzania</w:t>
            </w:r>
          </w:p>
        </w:tc>
        <w:tc>
          <w:tcPr>
            <w:tcW w:w="6232" w:type="dxa"/>
            <w:vAlign w:val="center"/>
          </w:tcPr>
          <w:p w:rsidR="008471D3" w:rsidRDefault="004503CB" w:rsidP="004503CB">
            <w:pPr>
              <w:ind w:firstLine="0"/>
            </w:pPr>
            <w:r>
              <w:t>Wymagania dotyczące jakości procesu wytwarzania określone przez wskazanie standardów zarządzania jakością, wymaganie stosowania norm przez producenta urządzeń komputerowych potwierdzone stosownym certyfikatem wystawionym przez niezależny organ certyfikujący.</w:t>
            </w:r>
          </w:p>
        </w:tc>
      </w:tr>
      <w:tr w:rsidR="008471D3" w:rsidTr="003A2F98">
        <w:tc>
          <w:tcPr>
            <w:tcW w:w="2830" w:type="dxa"/>
            <w:vAlign w:val="center"/>
          </w:tcPr>
          <w:p w:rsidR="008471D3" w:rsidRDefault="004503CB" w:rsidP="008471D3">
            <w:pPr>
              <w:ind w:firstLine="0"/>
              <w:jc w:val="left"/>
            </w:pPr>
            <w:r>
              <w:t>Warunki gwarancji</w:t>
            </w:r>
          </w:p>
        </w:tc>
        <w:tc>
          <w:tcPr>
            <w:tcW w:w="6232" w:type="dxa"/>
            <w:vAlign w:val="center"/>
          </w:tcPr>
          <w:p w:rsidR="008471D3" w:rsidRDefault="004503CB" w:rsidP="004503CB">
            <w:pPr>
              <w:ind w:firstLine="0"/>
            </w:pPr>
            <w:r>
              <w:t>Wg</w:t>
            </w:r>
            <w:r w:rsidR="00204342">
              <w:t>.</w:t>
            </w:r>
            <w:r w:rsidR="004331E6">
              <w:t xml:space="preserve"> potrzeb z</w:t>
            </w:r>
            <w:r>
              <w:t>amawiającego, przez podanie  wymaganego czasu trwania okresu gwarancji oraz warunków realizacji świadczenia warunków gwarancji</w:t>
            </w:r>
            <w:r w:rsidR="005F1C5D">
              <w:t>.</w:t>
            </w:r>
            <w:r>
              <w:t xml:space="preserve">   </w:t>
            </w:r>
          </w:p>
        </w:tc>
      </w:tr>
      <w:tr w:rsidR="008471D3" w:rsidTr="003A2F98">
        <w:tc>
          <w:tcPr>
            <w:tcW w:w="2830" w:type="dxa"/>
            <w:vAlign w:val="center"/>
          </w:tcPr>
          <w:p w:rsidR="008471D3" w:rsidRDefault="004503CB" w:rsidP="008471D3">
            <w:pPr>
              <w:ind w:firstLine="0"/>
              <w:jc w:val="left"/>
            </w:pPr>
            <w:r>
              <w:t>Wsparcie techniczne</w:t>
            </w:r>
          </w:p>
        </w:tc>
        <w:tc>
          <w:tcPr>
            <w:tcW w:w="6232" w:type="dxa"/>
            <w:vAlign w:val="center"/>
          </w:tcPr>
          <w:p w:rsidR="008471D3" w:rsidRDefault="004503CB" w:rsidP="004503CB">
            <w:pPr>
              <w:ind w:firstLine="0"/>
            </w:pPr>
            <w:r>
              <w:t>Opis sposobu udostępniania sterowników i poprawek przez producenta urządzenia.</w:t>
            </w:r>
          </w:p>
        </w:tc>
      </w:tr>
      <w:tr w:rsidR="008471D3" w:rsidTr="003A2F98">
        <w:tc>
          <w:tcPr>
            <w:tcW w:w="2830" w:type="dxa"/>
            <w:vAlign w:val="center"/>
          </w:tcPr>
          <w:p w:rsidR="008471D3" w:rsidRDefault="004503CB" w:rsidP="008471D3">
            <w:pPr>
              <w:ind w:firstLine="0"/>
              <w:jc w:val="left"/>
            </w:pPr>
            <w:r>
              <w:t>Wymagania dodatkowe</w:t>
            </w:r>
          </w:p>
        </w:tc>
        <w:tc>
          <w:tcPr>
            <w:tcW w:w="6232" w:type="dxa"/>
            <w:vAlign w:val="center"/>
          </w:tcPr>
          <w:p w:rsidR="004503CB" w:rsidRDefault="00FF5257" w:rsidP="004503CB">
            <w:pPr>
              <w:ind w:firstLine="0"/>
            </w:pPr>
            <w:r>
              <w:t xml:space="preserve">Inne </w:t>
            </w:r>
            <w:r w:rsidR="004503CB">
              <w:t>uzasadnione potrzebami zamawiającego wymagania</w:t>
            </w:r>
            <w:r w:rsidR="0025734D">
              <w:t>,</w:t>
            </w:r>
            <w:r w:rsidR="004503CB">
              <w:t xml:space="preserve">  sformułowane  w  sposób  niewykluczający konkurencji</w:t>
            </w:r>
            <w:r w:rsidR="001D432B">
              <w:t>:</w:t>
            </w:r>
          </w:p>
          <w:p w:rsidR="00FF5257" w:rsidRDefault="004503CB" w:rsidP="00FF5257">
            <w:pPr>
              <w:pStyle w:val="Akapitzlist"/>
              <w:numPr>
                <w:ilvl w:val="0"/>
                <w:numId w:val="9"/>
              </w:numPr>
              <w:ind w:left="745"/>
            </w:pPr>
            <w:r>
              <w:t>preinstalowany syste</w:t>
            </w:r>
            <w:r w:rsidR="00FF5257">
              <w:t>m operacyjny i inne aplikacje,</w:t>
            </w:r>
          </w:p>
          <w:p w:rsidR="00FF5257" w:rsidRDefault="004503CB" w:rsidP="00FF5257">
            <w:pPr>
              <w:pStyle w:val="Akapitzlist"/>
              <w:numPr>
                <w:ilvl w:val="0"/>
                <w:numId w:val="9"/>
              </w:numPr>
              <w:ind w:left="745"/>
            </w:pPr>
            <w:r>
              <w:t>wielkość  obudowy, jeśli wynika ze specyfiki</w:t>
            </w:r>
          </w:p>
          <w:p w:rsidR="00FF5257" w:rsidRDefault="004503CB" w:rsidP="00FF5257">
            <w:pPr>
              <w:pStyle w:val="Akapitzlist"/>
              <w:numPr>
                <w:ilvl w:val="0"/>
                <w:numId w:val="9"/>
              </w:numPr>
              <w:ind w:left="745"/>
            </w:pPr>
            <w:r>
              <w:t>zamówienia,</w:t>
            </w:r>
          </w:p>
          <w:p w:rsidR="00FF5257" w:rsidRDefault="004503CB" w:rsidP="00FF5257">
            <w:pPr>
              <w:pStyle w:val="Akapitzlist"/>
              <w:numPr>
                <w:ilvl w:val="0"/>
                <w:numId w:val="9"/>
              </w:numPr>
              <w:ind w:left="745"/>
            </w:pPr>
            <w:r>
              <w:t>rodzaj, liczba i miejsce wyprowadzenia gniazd,</w:t>
            </w:r>
          </w:p>
          <w:p w:rsidR="00FF5257" w:rsidRDefault="004503CB" w:rsidP="00FF5257">
            <w:pPr>
              <w:pStyle w:val="Akapitzlist"/>
              <w:numPr>
                <w:ilvl w:val="0"/>
                <w:numId w:val="9"/>
              </w:numPr>
              <w:ind w:left="745"/>
            </w:pPr>
            <w:r>
              <w:t>wyposażenie w czytni</w:t>
            </w:r>
            <w:r w:rsidR="00FF5257">
              <w:t>k lub nagrywarkę płyt CD/DVD</w:t>
            </w:r>
            <w:r w:rsidR="00EE3B19">
              <w:t>,</w:t>
            </w:r>
          </w:p>
          <w:p w:rsidR="00FF5257" w:rsidRDefault="004503CB" w:rsidP="00FF5257">
            <w:pPr>
              <w:pStyle w:val="Akapitzlist"/>
              <w:numPr>
                <w:ilvl w:val="0"/>
                <w:numId w:val="9"/>
              </w:numPr>
              <w:ind w:left="745"/>
            </w:pPr>
            <w:r>
              <w:t>układ   klawiatury   (m.in.   umiejscowienie   klawiatury</w:t>
            </w:r>
            <w:r w:rsidR="00FF5257">
              <w:t xml:space="preserve"> </w:t>
            </w:r>
            <w:r w:rsidR="00EE3B19">
              <w:t>numerycznej),</w:t>
            </w:r>
          </w:p>
          <w:p w:rsidR="00FF5257" w:rsidRDefault="004C78BE" w:rsidP="00FF5257">
            <w:pPr>
              <w:pStyle w:val="Akapitzlist"/>
              <w:numPr>
                <w:ilvl w:val="0"/>
                <w:numId w:val="9"/>
              </w:numPr>
              <w:ind w:left="745"/>
            </w:pPr>
            <w:r>
              <w:t>m</w:t>
            </w:r>
            <w:r w:rsidR="004503CB">
              <w:t xml:space="preserve">ysz, torba , stacja dokująca </w:t>
            </w:r>
            <w:r w:rsidR="00FF5257">
              <w:t>itp.</w:t>
            </w:r>
            <w:r w:rsidR="00EE3B19">
              <w:t>,</w:t>
            </w:r>
          </w:p>
          <w:p w:rsidR="008471D3" w:rsidRDefault="004C78BE" w:rsidP="00FF5257">
            <w:pPr>
              <w:pStyle w:val="Akapitzlist"/>
              <w:numPr>
                <w:ilvl w:val="0"/>
                <w:numId w:val="9"/>
              </w:numPr>
              <w:ind w:left="745"/>
            </w:pPr>
            <w:r>
              <w:t>z</w:t>
            </w:r>
            <w:r w:rsidR="004503CB">
              <w:t>dalne zarządzanie, np. sprzętowy KVM (Klawiatura, Video, Mysz)</w:t>
            </w:r>
            <w:r w:rsidR="00EE3B19">
              <w:t>.</w:t>
            </w:r>
          </w:p>
        </w:tc>
      </w:tr>
    </w:tbl>
    <w:p w:rsidR="00FF5257" w:rsidRDefault="00FF5257" w:rsidP="00FF5257">
      <w:pPr>
        <w:pStyle w:val="Nagwek2"/>
        <w:numPr>
          <w:ilvl w:val="1"/>
          <w:numId w:val="2"/>
        </w:numPr>
      </w:pPr>
      <w:bookmarkStart w:id="4" w:name="_Toc62214588"/>
      <w:r>
        <w:lastRenderedPageBreak/>
        <w:t>Wymagania dotyczące stosowanych testów</w:t>
      </w:r>
      <w:bookmarkEnd w:id="4"/>
    </w:p>
    <w:p w:rsidR="00A26338" w:rsidRDefault="00A26338" w:rsidP="00A26338">
      <w:r>
        <w:t xml:space="preserve">W miarę rozwoju technologii i stopnia skomplikowania </w:t>
      </w:r>
      <w:proofErr w:type="spellStart"/>
      <w:r>
        <w:t>architektur</w:t>
      </w:r>
      <w:proofErr w:type="spellEnd"/>
      <w:r>
        <w:t xml:space="preserve"> urządzeń komputerowych, porównywanie wydajności komputerów tylko na podstawie parametrów ich komponentów składowych stało się niewystarczające. Niezbędne jest zatem badanie wydajności komputerów w praktyce. W tym celu stosuje się testy wydajnościowe – tzw. benchmarki.</w:t>
      </w:r>
    </w:p>
    <w:p w:rsidR="00A26338" w:rsidRDefault="00A26338" w:rsidP="00A26338">
      <w:r>
        <w:t>Wyróżniamy dwa podstawowe rodzaje testów wydajnościowych:</w:t>
      </w:r>
    </w:p>
    <w:p w:rsidR="00A26338" w:rsidRDefault="00A26338" w:rsidP="00641095">
      <w:pPr>
        <w:pStyle w:val="Akapitzlist"/>
        <w:numPr>
          <w:ilvl w:val="0"/>
          <w:numId w:val="24"/>
        </w:numPr>
      </w:pPr>
      <w:r w:rsidRPr="00641095">
        <w:rPr>
          <w:b/>
        </w:rPr>
        <w:t>testy syntetyczne</w:t>
      </w:r>
      <w:r>
        <w:t xml:space="preserve"> – polegające na badaniu teoretycznej maksymalnej wydajności komputera pod kątem danego zastosowania (np. kompresja danych, dźwięku, obrazu, szyfrowanie, przetwarzanie grafiki 3D). Używają one do tego specjalnie dla danego celu zoptymalizowanych programów testowych;</w:t>
      </w:r>
    </w:p>
    <w:p w:rsidR="00A26338" w:rsidRDefault="00A26338" w:rsidP="00641095">
      <w:pPr>
        <w:pStyle w:val="Akapitzlist"/>
        <w:numPr>
          <w:ilvl w:val="0"/>
          <w:numId w:val="24"/>
        </w:numPr>
      </w:pPr>
      <w:r w:rsidRPr="00641095">
        <w:rPr>
          <w:b/>
        </w:rPr>
        <w:t>testy  aplikacyjne</w:t>
      </w:r>
      <w:r>
        <w:t xml:space="preserve">  – które mierzą  wydajność  komputera  przy użyciu pewnego  zestawu standardowych programów używanych w normalnej pracy z komputerem. Preferowanym i rekomendowanym sposobem określania wymagań dotyczących wydajności jest odwołanie do wymaganych, minimalnych wskaźników uzyskiwanych przez urządzenia komputerowe w testach aplikacyjnych. Przewaga w testach syntetycznych może bowiem nie przekładać się na postrzeganą przez użytkownika wydajność komputera. Przykładowo - urządzenie z bardzo silnym procesorem i dość powolnym dyskiem twardym może być postrzegane przez</w:t>
      </w:r>
      <w:r w:rsidR="00682E62">
        <w:t xml:space="preserve"> użytkownika jako wolne, mimo, </w:t>
      </w:r>
      <w:r>
        <w:t>ż</w:t>
      </w:r>
      <w:r w:rsidR="00682E62">
        <w:t>e</w:t>
      </w:r>
      <w:r>
        <w:t xml:space="preserve"> w teście syntetycznym, mierzącym moc obliczeniową</w:t>
      </w:r>
      <w:r w:rsidR="007E6D35">
        <w:t>,</w:t>
      </w:r>
      <w:r>
        <w:t xml:space="preserve"> urządzenie to uzyska wysoki wynik.</w:t>
      </w:r>
    </w:p>
    <w:p w:rsidR="00A26338" w:rsidRDefault="00A26338" w:rsidP="00A26338"/>
    <w:p w:rsidR="00FF5257" w:rsidRDefault="00A26338" w:rsidP="00A26338">
      <w:r>
        <w:t>Kryterium wyboru testu powinna być niezależność organizacji opracowującej dany zestaw testów</w:t>
      </w:r>
      <w:r w:rsidR="00855515">
        <w:t xml:space="preserve"> </w:t>
      </w:r>
      <w:r w:rsidR="00855515" w:rsidRPr="00855515">
        <w:t>od producentów komponentów urządzenia komputerowego</w:t>
      </w:r>
      <w:r w:rsidR="00977E89">
        <w:t xml:space="preserve"> (testy są opracowywane przez firmy komercyjne, organizacje non-profit, konsorcja z udziałem procentów komponentów urządzeń komputerowych)</w:t>
      </w:r>
      <w:r w:rsidR="00855515" w:rsidRPr="00855515">
        <w:t>. Ich rodzaje i liczba ulegają zmianie wraz z rozwojem technologii. Zamawiający wybierając test stanowiący podstawę określania wymagań względem wydajności urządzenia komputerowego powinien rozważyć, czy organizacja sygnująca dany test spełnia wskazane powyżej kryterium. Nie należy stosować testów opracowanych przez producentów sprzętu.</w:t>
      </w:r>
      <w:r w:rsidR="00A51A9F">
        <w:t>,</w:t>
      </w:r>
      <w:r w:rsidR="00855515" w:rsidRPr="00855515">
        <w:t xml:space="preserve"> </w:t>
      </w:r>
      <w:r w:rsidR="0033536E">
        <w:t>P</w:t>
      </w:r>
      <w:r w:rsidR="00855515" w:rsidRPr="00855515">
        <w:t>rzykładowe testy aplikacyjne, spełniające</w:t>
      </w:r>
      <w:r w:rsidR="0033536E">
        <w:t>,</w:t>
      </w:r>
      <w:r w:rsidR="00855515" w:rsidRPr="00855515">
        <w:t xml:space="preserve"> </w:t>
      </w:r>
      <w:r w:rsidR="0033536E">
        <w:t>n</w:t>
      </w:r>
      <w:r w:rsidR="0033536E" w:rsidRPr="00855515">
        <w:t>a dzień sporządzenia niniejszych rekomendacji</w:t>
      </w:r>
      <w:r w:rsidR="0033536E">
        <w:t>,</w:t>
      </w:r>
      <w:r w:rsidR="0033536E" w:rsidRPr="00855515">
        <w:t xml:space="preserve"> </w:t>
      </w:r>
      <w:r w:rsidR="00855515" w:rsidRPr="00855515">
        <w:t>opisane wymaganie wymieniono w Tabeli 2.</w:t>
      </w:r>
    </w:p>
    <w:p w:rsidR="00855515" w:rsidRDefault="00855515" w:rsidP="00A26338">
      <w:r w:rsidRPr="00855515">
        <w:rPr>
          <w:b/>
        </w:rPr>
        <w:lastRenderedPageBreak/>
        <w:t>Tabela 2</w:t>
      </w:r>
      <w:r>
        <w:t>. Rekomendowane testy aplikacyjne dostępne w dacie opracowania rekomendacji</w:t>
      </w:r>
    </w:p>
    <w:tbl>
      <w:tblPr>
        <w:tblStyle w:val="Tabela-Siatka"/>
        <w:tblW w:w="0" w:type="auto"/>
        <w:tblLook w:val="04A0" w:firstRow="1" w:lastRow="0" w:firstColumn="1" w:lastColumn="0" w:noHBand="0" w:noVBand="1"/>
      </w:tblPr>
      <w:tblGrid>
        <w:gridCol w:w="1838"/>
        <w:gridCol w:w="7224"/>
      </w:tblGrid>
      <w:tr w:rsidR="00855515" w:rsidTr="003A2F98">
        <w:tc>
          <w:tcPr>
            <w:tcW w:w="1838" w:type="dxa"/>
            <w:vAlign w:val="center"/>
          </w:tcPr>
          <w:p w:rsidR="00855515" w:rsidRPr="00641095" w:rsidRDefault="00855515" w:rsidP="00855515">
            <w:pPr>
              <w:ind w:firstLine="0"/>
              <w:jc w:val="center"/>
              <w:rPr>
                <w:b/>
                <w:i/>
              </w:rPr>
            </w:pPr>
            <w:r w:rsidRPr="00641095">
              <w:rPr>
                <w:b/>
                <w:i/>
              </w:rPr>
              <w:t>Organizacja</w:t>
            </w:r>
          </w:p>
        </w:tc>
        <w:tc>
          <w:tcPr>
            <w:tcW w:w="7224" w:type="dxa"/>
            <w:vAlign w:val="center"/>
          </w:tcPr>
          <w:p w:rsidR="00855515" w:rsidRPr="00641095" w:rsidRDefault="00855515" w:rsidP="00855515">
            <w:pPr>
              <w:ind w:firstLine="0"/>
              <w:jc w:val="center"/>
              <w:rPr>
                <w:b/>
                <w:i/>
              </w:rPr>
            </w:pPr>
            <w:r w:rsidRPr="00641095">
              <w:rPr>
                <w:b/>
                <w:i/>
              </w:rPr>
              <w:t>Nazwa testu</w:t>
            </w:r>
          </w:p>
        </w:tc>
      </w:tr>
      <w:tr w:rsidR="00855515" w:rsidTr="003A2F98">
        <w:tc>
          <w:tcPr>
            <w:tcW w:w="1838" w:type="dxa"/>
          </w:tcPr>
          <w:p w:rsidR="00855515" w:rsidRPr="00641095" w:rsidRDefault="00855515" w:rsidP="00A26338">
            <w:pPr>
              <w:ind w:firstLine="0"/>
              <w:rPr>
                <w:b/>
              </w:rPr>
            </w:pPr>
            <w:r w:rsidRPr="00641095">
              <w:rPr>
                <w:b/>
              </w:rPr>
              <w:t>BAPCO</w:t>
            </w:r>
          </w:p>
        </w:tc>
        <w:tc>
          <w:tcPr>
            <w:tcW w:w="7224" w:type="dxa"/>
          </w:tcPr>
          <w:p w:rsidR="00565C5F" w:rsidRPr="008C7B3E" w:rsidRDefault="00565C5F" w:rsidP="00565C5F">
            <w:pPr>
              <w:ind w:firstLine="0"/>
              <w:rPr>
                <w:lang w:val="en-US"/>
              </w:rPr>
            </w:pPr>
            <w:r w:rsidRPr="008C7B3E">
              <w:rPr>
                <w:lang w:val="en-US"/>
              </w:rPr>
              <w:t xml:space="preserve">SYSmark2018 Overall Rating </w:t>
            </w:r>
            <w:proofErr w:type="spellStart"/>
            <w:r w:rsidRPr="008C7B3E">
              <w:rPr>
                <w:lang w:val="en-US"/>
              </w:rPr>
              <w:t>oraz</w:t>
            </w:r>
            <w:proofErr w:type="spellEnd"/>
            <w:r w:rsidRPr="008C7B3E">
              <w:rPr>
                <w:lang w:val="en-US"/>
              </w:rPr>
              <w:t xml:space="preserve"> testy </w:t>
            </w:r>
            <w:proofErr w:type="spellStart"/>
            <w:r w:rsidRPr="008C7B3E">
              <w:rPr>
                <w:lang w:val="en-US"/>
              </w:rPr>
              <w:t>składowe</w:t>
            </w:r>
            <w:proofErr w:type="spellEnd"/>
            <w:r w:rsidRPr="008C7B3E">
              <w:rPr>
                <w:lang w:val="en-US"/>
              </w:rPr>
              <w:t>: Productivity, Creativity, Responsiveness</w:t>
            </w:r>
          </w:p>
          <w:p w:rsidR="00855515" w:rsidRDefault="00565C5F" w:rsidP="00855515">
            <w:pPr>
              <w:ind w:firstLine="0"/>
            </w:pPr>
            <w:proofErr w:type="spellStart"/>
            <w:r>
              <w:t>MobileMark</w:t>
            </w:r>
            <w:proofErr w:type="spellEnd"/>
            <w:r>
              <w:t xml:space="preserve"> 2018 Battery Life Rating przy określonym Performance </w:t>
            </w:r>
            <w:proofErr w:type="spellStart"/>
            <w:r>
              <w:t>Qualification</w:t>
            </w:r>
            <w:proofErr w:type="spellEnd"/>
            <w:r>
              <w:t xml:space="preserve">  dla pomiaru czasu pracy na baterii</w:t>
            </w:r>
          </w:p>
        </w:tc>
      </w:tr>
      <w:tr w:rsidR="00855515" w:rsidTr="003A2F98">
        <w:tc>
          <w:tcPr>
            <w:tcW w:w="1838" w:type="dxa"/>
          </w:tcPr>
          <w:p w:rsidR="00855515" w:rsidRPr="00641095" w:rsidRDefault="00855515" w:rsidP="00A26338">
            <w:pPr>
              <w:ind w:firstLine="0"/>
              <w:rPr>
                <w:b/>
              </w:rPr>
            </w:pPr>
            <w:r w:rsidRPr="00641095">
              <w:rPr>
                <w:b/>
              </w:rPr>
              <w:t xml:space="preserve">UL </w:t>
            </w:r>
            <w:proofErr w:type="spellStart"/>
            <w:r w:rsidRPr="00641095">
              <w:rPr>
                <w:b/>
              </w:rPr>
              <w:t>Laboratory</w:t>
            </w:r>
            <w:proofErr w:type="spellEnd"/>
          </w:p>
        </w:tc>
        <w:tc>
          <w:tcPr>
            <w:tcW w:w="7224" w:type="dxa"/>
          </w:tcPr>
          <w:p w:rsidR="00565C5F" w:rsidRDefault="00565C5F" w:rsidP="00565C5F">
            <w:pPr>
              <w:ind w:firstLine="0"/>
              <w:rPr>
                <w:lang w:val="en-US"/>
              </w:rPr>
            </w:pPr>
            <w:r w:rsidRPr="008F60D4">
              <w:rPr>
                <w:lang w:val="en-US"/>
              </w:rPr>
              <w:t xml:space="preserve">PC Mark 10 Overall score </w:t>
            </w:r>
            <w:proofErr w:type="spellStart"/>
            <w:r w:rsidRPr="008F60D4">
              <w:rPr>
                <w:lang w:val="en-US"/>
              </w:rPr>
              <w:t>o</w:t>
            </w:r>
            <w:r>
              <w:rPr>
                <w:lang w:val="en-US"/>
              </w:rPr>
              <w:t>raz</w:t>
            </w:r>
            <w:proofErr w:type="spellEnd"/>
            <w:r>
              <w:rPr>
                <w:lang w:val="en-US"/>
              </w:rPr>
              <w:t xml:space="preserve"> testy </w:t>
            </w:r>
            <w:proofErr w:type="spellStart"/>
            <w:r>
              <w:rPr>
                <w:lang w:val="en-US"/>
              </w:rPr>
              <w:t>składowe</w:t>
            </w:r>
            <w:proofErr w:type="spellEnd"/>
            <w:r>
              <w:rPr>
                <w:lang w:val="en-US"/>
              </w:rPr>
              <w:t xml:space="preserve">: Essentials score, Productivity score, </w:t>
            </w:r>
            <w:r w:rsidRPr="004D3255">
              <w:rPr>
                <w:lang w:val="en-US"/>
              </w:rPr>
              <w:t>Digital Content Creation score</w:t>
            </w:r>
          </w:p>
          <w:p w:rsidR="00855515" w:rsidRDefault="00565C5F" w:rsidP="00565C5F">
            <w:pPr>
              <w:ind w:firstLine="0"/>
            </w:pPr>
            <w:proofErr w:type="spellStart"/>
            <w:r w:rsidRPr="00723189">
              <w:t>PCMark</w:t>
            </w:r>
            <w:proofErr w:type="spellEnd"/>
            <w:r w:rsidRPr="00723189">
              <w:t xml:space="preserve"> 10 Modern Office Battery Life </w:t>
            </w:r>
            <w:proofErr w:type="spellStart"/>
            <w:r w:rsidRPr="00723189">
              <w:t>score</w:t>
            </w:r>
            <w:proofErr w:type="spellEnd"/>
            <w:r w:rsidRPr="00723189">
              <w:t xml:space="preserve"> dla pomiaru czasu pracy na</w:t>
            </w:r>
            <w:r>
              <w:t xml:space="preserve"> baterii</w:t>
            </w:r>
          </w:p>
        </w:tc>
      </w:tr>
    </w:tbl>
    <w:p w:rsidR="00855515" w:rsidRDefault="00855515" w:rsidP="00A26338"/>
    <w:p w:rsidR="00565C5F" w:rsidRDefault="00565C5F" w:rsidP="00565C5F">
      <w:r>
        <w:t xml:space="preserve">Rekomenduje się używanie zawsze najnowszych wersji wyżej wskazanych w tabeli </w:t>
      </w:r>
      <w:proofErr w:type="spellStart"/>
      <w:r>
        <w:t>testów</w:t>
      </w:r>
      <w:r w:rsidR="00404307">
        <w:t>np</w:t>
      </w:r>
      <w:proofErr w:type="spellEnd"/>
      <w:r w:rsidR="00404307">
        <w:t xml:space="preserve">. </w:t>
      </w:r>
      <w:r>
        <w:t xml:space="preserve">w dniu publikacji niniejszego dokumentu dostępny jest już </w:t>
      </w:r>
      <w:proofErr w:type="spellStart"/>
      <w:r>
        <w:t>Sysmark</w:t>
      </w:r>
      <w:proofErr w:type="spellEnd"/>
      <w:r>
        <w:t xml:space="preserve"> 25, oraz trwają już prace nad kolejną wersją PC Mark</w:t>
      </w:r>
    </w:p>
    <w:p w:rsidR="004A6491" w:rsidRDefault="004A6491" w:rsidP="00565C5F"/>
    <w:p w:rsidR="00565C5F" w:rsidRPr="004A6491" w:rsidRDefault="00450C4B" w:rsidP="003A2F98">
      <w:pPr>
        <w:ind w:firstLine="708"/>
      </w:pPr>
      <w:r w:rsidRPr="003A2F98">
        <w:rPr>
          <w:b/>
        </w:rPr>
        <w:t>Tabela 3.</w:t>
      </w:r>
      <w:r w:rsidRPr="004A6491">
        <w:t xml:space="preserve"> </w:t>
      </w:r>
      <w:r w:rsidR="00565C5F" w:rsidRPr="004A6491">
        <w:t xml:space="preserve">Porównanie testów wydajnościowych </w:t>
      </w:r>
      <w:proofErr w:type="spellStart"/>
      <w:r w:rsidR="00565C5F" w:rsidRPr="004A6491">
        <w:t>PCMark</w:t>
      </w:r>
      <w:proofErr w:type="spellEnd"/>
      <w:r w:rsidR="00565C5F" w:rsidRPr="004A6491">
        <w:t xml:space="preserve"> 10 i </w:t>
      </w:r>
      <w:proofErr w:type="spellStart"/>
      <w:r w:rsidR="00565C5F" w:rsidRPr="004A6491">
        <w:t>BAPCo</w:t>
      </w:r>
      <w:proofErr w:type="spellEnd"/>
      <w:r w:rsidR="00565C5F" w:rsidRPr="004A6491">
        <w:t xml:space="preserve"> </w:t>
      </w:r>
      <w:proofErr w:type="spellStart"/>
      <w:r w:rsidR="00565C5F" w:rsidRPr="004A6491">
        <w:t>SYSsmark</w:t>
      </w:r>
      <w:proofErr w:type="spellEnd"/>
      <w:r w:rsidR="00565C5F" w:rsidRPr="004A6491">
        <w:t xml:space="preserve"> 2018</w:t>
      </w:r>
    </w:p>
    <w:tbl>
      <w:tblPr>
        <w:tblW w:w="91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20" w:firstRow="1" w:lastRow="0" w:firstColumn="0" w:lastColumn="0" w:noHBand="0" w:noVBand="1"/>
      </w:tblPr>
      <w:tblGrid>
        <w:gridCol w:w="1905"/>
        <w:gridCol w:w="3472"/>
        <w:gridCol w:w="3787"/>
      </w:tblGrid>
      <w:tr w:rsidR="00565C5F" w:rsidRPr="00661F6B" w:rsidTr="004A6491">
        <w:trPr>
          <w:trHeight w:val="438"/>
        </w:trPr>
        <w:tc>
          <w:tcPr>
            <w:tcW w:w="1905" w:type="dxa"/>
            <w:shd w:val="clear" w:color="auto" w:fill="auto"/>
            <w:tcMar>
              <w:top w:w="54" w:type="dxa"/>
              <w:left w:w="108" w:type="dxa"/>
              <w:bottom w:w="54" w:type="dxa"/>
              <w:right w:w="108" w:type="dxa"/>
            </w:tcMar>
            <w:hideMark/>
          </w:tcPr>
          <w:p w:rsidR="00565C5F" w:rsidRPr="00641095" w:rsidRDefault="00565C5F" w:rsidP="00A6183F">
            <w:pPr>
              <w:spacing w:after="0" w:line="240" w:lineRule="auto"/>
              <w:ind w:firstLine="0"/>
              <w:rPr>
                <w:rFonts w:eastAsia="Times New Roman"/>
                <w:b/>
                <w:bCs/>
                <w:sz w:val="22"/>
              </w:rPr>
            </w:pPr>
            <w:r w:rsidRPr="00641095">
              <w:rPr>
                <w:rFonts w:eastAsia="Times New Roman"/>
                <w:b/>
                <w:bCs/>
                <w:kern w:val="24"/>
                <w:sz w:val="22"/>
              </w:rPr>
              <w:t>Charakterystyka</w:t>
            </w:r>
          </w:p>
        </w:tc>
        <w:tc>
          <w:tcPr>
            <w:tcW w:w="3472" w:type="dxa"/>
            <w:shd w:val="clear" w:color="auto" w:fill="auto"/>
            <w:tcMar>
              <w:top w:w="54" w:type="dxa"/>
              <w:left w:w="108" w:type="dxa"/>
              <w:bottom w:w="54" w:type="dxa"/>
              <w:right w:w="108" w:type="dxa"/>
            </w:tcMar>
            <w:hideMark/>
          </w:tcPr>
          <w:p w:rsidR="00565C5F" w:rsidRPr="00641095" w:rsidRDefault="00565C5F" w:rsidP="00A6183F">
            <w:pPr>
              <w:spacing w:after="0" w:line="240" w:lineRule="auto"/>
              <w:ind w:firstLine="0"/>
              <w:rPr>
                <w:rFonts w:eastAsia="Times New Roman"/>
                <w:b/>
                <w:bCs/>
                <w:sz w:val="22"/>
              </w:rPr>
            </w:pPr>
            <w:r w:rsidRPr="00641095">
              <w:rPr>
                <w:rFonts w:eastAsia="Times New Roman"/>
                <w:b/>
                <w:bCs/>
                <w:kern w:val="24"/>
                <w:sz w:val="22"/>
              </w:rPr>
              <w:t>UL/</w:t>
            </w:r>
            <w:proofErr w:type="spellStart"/>
            <w:r w:rsidRPr="00641095">
              <w:rPr>
                <w:rFonts w:eastAsia="Times New Roman"/>
                <w:b/>
                <w:bCs/>
                <w:kern w:val="24"/>
                <w:sz w:val="22"/>
              </w:rPr>
              <w:t>Futuremark</w:t>
            </w:r>
            <w:proofErr w:type="spellEnd"/>
            <w:r w:rsidRPr="00641095">
              <w:rPr>
                <w:rFonts w:eastAsia="Times New Roman"/>
                <w:b/>
                <w:bCs/>
                <w:kern w:val="24"/>
                <w:sz w:val="22"/>
              </w:rPr>
              <w:t xml:space="preserve"> </w:t>
            </w:r>
            <w:proofErr w:type="spellStart"/>
            <w:r w:rsidRPr="00641095">
              <w:rPr>
                <w:rFonts w:eastAsia="Times New Roman"/>
                <w:b/>
                <w:bCs/>
                <w:kern w:val="24"/>
                <w:sz w:val="22"/>
              </w:rPr>
              <w:t>PCMark</w:t>
            </w:r>
            <w:proofErr w:type="spellEnd"/>
            <w:r w:rsidRPr="00641095">
              <w:rPr>
                <w:rFonts w:eastAsia="Times New Roman"/>
                <w:b/>
                <w:bCs/>
                <w:kern w:val="24"/>
                <w:sz w:val="22"/>
              </w:rPr>
              <w:t xml:space="preserve"> 10 </w:t>
            </w:r>
          </w:p>
        </w:tc>
        <w:tc>
          <w:tcPr>
            <w:tcW w:w="3787" w:type="dxa"/>
            <w:shd w:val="clear" w:color="auto" w:fill="auto"/>
            <w:tcMar>
              <w:top w:w="54" w:type="dxa"/>
              <w:left w:w="108" w:type="dxa"/>
              <w:bottom w:w="54" w:type="dxa"/>
              <w:right w:w="108" w:type="dxa"/>
            </w:tcMar>
            <w:hideMark/>
          </w:tcPr>
          <w:p w:rsidR="00565C5F" w:rsidRPr="00641095" w:rsidRDefault="00565C5F" w:rsidP="00A6183F">
            <w:pPr>
              <w:spacing w:after="0" w:line="240" w:lineRule="auto"/>
              <w:ind w:firstLine="0"/>
              <w:rPr>
                <w:rFonts w:eastAsia="Times New Roman"/>
                <w:b/>
                <w:bCs/>
                <w:sz w:val="22"/>
              </w:rPr>
            </w:pPr>
            <w:proofErr w:type="spellStart"/>
            <w:r w:rsidRPr="00641095">
              <w:rPr>
                <w:rFonts w:eastAsia="Times New Roman"/>
                <w:b/>
                <w:bCs/>
                <w:kern w:val="24"/>
                <w:sz w:val="22"/>
              </w:rPr>
              <w:t>BAPCo</w:t>
            </w:r>
            <w:proofErr w:type="spellEnd"/>
            <w:r w:rsidRPr="00641095">
              <w:rPr>
                <w:rFonts w:eastAsia="Times New Roman"/>
                <w:b/>
                <w:bCs/>
                <w:kern w:val="24"/>
                <w:sz w:val="22"/>
              </w:rPr>
              <w:t xml:space="preserve"> </w:t>
            </w:r>
            <w:proofErr w:type="spellStart"/>
            <w:r w:rsidRPr="00641095">
              <w:rPr>
                <w:rFonts w:eastAsia="Times New Roman"/>
                <w:b/>
                <w:bCs/>
                <w:kern w:val="24"/>
                <w:sz w:val="22"/>
              </w:rPr>
              <w:t>SYSmark</w:t>
            </w:r>
            <w:proofErr w:type="spellEnd"/>
            <w:r w:rsidRPr="00641095">
              <w:rPr>
                <w:rFonts w:eastAsia="Times New Roman"/>
                <w:b/>
                <w:bCs/>
                <w:kern w:val="24"/>
                <w:sz w:val="22"/>
              </w:rPr>
              <w:t xml:space="preserve"> 2018</w:t>
            </w:r>
          </w:p>
        </w:tc>
      </w:tr>
      <w:tr w:rsidR="00565C5F" w:rsidRPr="00464CE5" w:rsidTr="004A6491">
        <w:trPr>
          <w:trHeight w:val="756"/>
        </w:trPr>
        <w:tc>
          <w:tcPr>
            <w:tcW w:w="1905" w:type="dxa"/>
            <w:shd w:val="clear" w:color="auto" w:fill="auto"/>
            <w:tcMar>
              <w:top w:w="54" w:type="dxa"/>
              <w:left w:w="108" w:type="dxa"/>
              <w:bottom w:w="54" w:type="dxa"/>
              <w:right w:w="108" w:type="dxa"/>
            </w:tcMar>
            <w:hideMark/>
          </w:tcPr>
          <w:p w:rsidR="00565C5F" w:rsidRPr="00641095" w:rsidRDefault="00565C5F" w:rsidP="004A6491">
            <w:pPr>
              <w:spacing w:after="0"/>
              <w:ind w:firstLine="0"/>
              <w:rPr>
                <w:rFonts w:eastAsia="Times New Roman"/>
                <w:b/>
                <w:bCs/>
                <w:sz w:val="22"/>
              </w:rPr>
            </w:pPr>
            <w:r w:rsidRPr="00641095">
              <w:rPr>
                <w:rFonts w:eastAsia="Times New Roman"/>
                <w:b/>
                <w:bCs/>
                <w:kern w:val="24"/>
                <w:sz w:val="22"/>
              </w:rPr>
              <w:t>Wydawca</w:t>
            </w:r>
          </w:p>
        </w:tc>
        <w:tc>
          <w:tcPr>
            <w:tcW w:w="3472" w:type="dxa"/>
            <w:shd w:val="clear" w:color="auto" w:fill="auto"/>
            <w:tcMar>
              <w:top w:w="54" w:type="dxa"/>
              <w:left w:w="108" w:type="dxa"/>
              <w:bottom w:w="54" w:type="dxa"/>
              <w:right w:w="108" w:type="dxa"/>
            </w:tcMar>
            <w:hideMark/>
          </w:tcPr>
          <w:p w:rsidR="00565C5F" w:rsidRPr="00641095" w:rsidRDefault="00565C5F" w:rsidP="004A6491">
            <w:pPr>
              <w:spacing w:after="0"/>
              <w:ind w:firstLine="0"/>
              <w:rPr>
                <w:sz w:val="22"/>
                <w:lang w:val="en-US"/>
              </w:rPr>
            </w:pPr>
            <w:r w:rsidRPr="00641095">
              <w:rPr>
                <w:sz w:val="22"/>
                <w:lang w:val="en-US"/>
              </w:rPr>
              <w:t>UL/</w:t>
            </w:r>
            <w:proofErr w:type="spellStart"/>
            <w:r w:rsidRPr="00641095">
              <w:rPr>
                <w:sz w:val="22"/>
                <w:lang w:val="en-US"/>
              </w:rPr>
              <w:t>Futuremark</w:t>
            </w:r>
            <w:proofErr w:type="spellEnd"/>
            <w:r w:rsidRPr="00641095">
              <w:rPr>
                <w:sz w:val="22"/>
                <w:lang w:val="en-US"/>
              </w:rPr>
              <w:t>(UL)</w:t>
            </w:r>
          </w:p>
        </w:tc>
        <w:tc>
          <w:tcPr>
            <w:tcW w:w="3787" w:type="dxa"/>
            <w:shd w:val="clear" w:color="auto" w:fill="auto"/>
            <w:tcMar>
              <w:top w:w="54" w:type="dxa"/>
              <w:left w:w="108" w:type="dxa"/>
              <w:bottom w:w="54" w:type="dxa"/>
              <w:right w:w="108" w:type="dxa"/>
            </w:tcMar>
            <w:hideMark/>
          </w:tcPr>
          <w:p w:rsidR="00565C5F" w:rsidRPr="00641095" w:rsidRDefault="00C04514" w:rsidP="004A6491">
            <w:pPr>
              <w:spacing w:after="0"/>
              <w:ind w:firstLine="0"/>
              <w:rPr>
                <w:sz w:val="22"/>
                <w:lang w:val="en-US"/>
              </w:rPr>
            </w:pPr>
            <w:r w:rsidRPr="00641095">
              <w:rPr>
                <w:sz w:val="22"/>
                <w:lang w:val="en-US"/>
              </w:rPr>
              <w:t>Business Applications Performance Corporation (</w:t>
            </w:r>
            <w:proofErr w:type="spellStart"/>
            <w:r w:rsidRPr="00641095">
              <w:rPr>
                <w:sz w:val="22"/>
                <w:lang w:val="en-US"/>
              </w:rPr>
              <w:t>BAPCo</w:t>
            </w:r>
            <w:proofErr w:type="spellEnd"/>
            <w:r w:rsidRPr="00641095">
              <w:rPr>
                <w:sz w:val="22"/>
                <w:lang w:val="en-US"/>
              </w:rPr>
              <w:t>)</w:t>
            </w:r>
          </w:p>
        </w:tc>
      </w:tr>
      <w:tr w:rsidR="00565C5F" w:rsidRPr="007825F7" w:rsidTr="004A6491">
        <w:trPr>
          <w:trHeight w:val="756"/>
        </w:trPr>
        <w:tc>
          <w:tcPr>
            <w:tcW w:w="1905" w:type="dxa"/>
            <w:shd w:val="clear" w:color="auto" w:fill="auto"/>
            <w:tcMar>
              <w:top w:w="54" w:type="dxa"/>
              <w:left w:w="108" w:type="dxa"/>
              <w:bottom w:w="54" w:type="dxa"/>
              <w:right w:w="108" w:type="dxa"/>
            </w:tcMar>
            <w:hideMark/>
          </w:tcPr>
          <w:p w:rsidR="00565C5F" w:rsidRPr="00641095" w:rsidRDefault="00565C5F" w:rsidP="004A6491">
            <w:pPr>
              <w:spacing w:after="0"/>
              <w:ind w:firstLine="0"/>
              <w:rPr>
                <w:rFonts w:eastAsia="Times New Roman"/>
                <w:b/>
                <w:bCs/>
                <w:sz w:val="22"/>
              </w:rPr>
            </w:pPr>
            <w:r w:rsidRPr="00641095">
              <w:rPr>
                <w:rFonts w:eastAsia="Times New Roman"/>
                <w:b/>
                <w:bCs/>
                <w:kern w:val="24"/>
                <w:sz w:val="22"/>
              </w:rPr>
              <w:t>Profil działalności wydawcy</w:t>
            </w:r>
          </w:p>
        </w:tc>
        <w:tc>
          <w:tcPr>
            <w:tcW w:w="3472" w:type="dxa"/>
            <w:shd w:val="clear" w:color="auto" w:fill="auto"/>
            <w:tcMar>
              <w:top w:w="54" w:type="dxa"/>
              <w:left w:w="108" w:type="dxa"/>
              <w:bottom w:w="54" w:type="dxa"/>
              <w:right w:w="108" w:type="dxa"/>
            </w:tcMar>
            <w:hideMark/>
          </w:tcPr>
          <w:p w:rsidR="00565C5F" w:rsidRPr="00641095" w:rsidRDefault="00565C5F" w:rsidP="004A6491">
            <w:pPr>
              <w:spacing w:after="0"/>
              <w:ind w:firstLine="0"/>
              <w:rPr>
                <w:sz w:val="22"/>
                <w:lang w:val="en-US"/>
              </w:rPr>
            </w:pPr>
            <w:proofErr w:type="spellStart"/>
            <w:r w:rsidRPr="00641095">
              <w:rPr>
                <w:sz w:val="22"/>
                <w:lang w:val="en-US"/>
              </w:rPr>
              <w:t>Prywatna</w:t>
            </w:r>
            <w:proofErr w:type="spellEnd"/>
            <w:r w:rsidRPr="00641095">
              <w:rPr>
                <w:sz w:val="22"/>
                <w:lang w:val="en-US"/>
              </w:rPr>
              <w:t xml:space="preserve">, </w:t>
            </w:r>
            <w:proofErr w:type="spellStart"/>
            <w:r w:rsidRPr="00641095">
              <w:rPr>
                <w:sz w:val="22"/>
                <w:lang w:val="en-US"/>
              </w:rPr>
              <w:t>globalna</w:t>
            </w:r>
            <w:proofErr w:type="spellEnd"/>
            <w:r w:rsidRPr="00641095">
              <w:rPr>
                <w:sz w:val="22"/>
                <w:lang w:val="en-US"/>
              </w:rPr>
              <w:t xml:space="preserve"> firma </w:t>
            </w:r>
            <w:proofErr w:type="spellStart"/>
            <w:r w:rsidRPr="00641095">
              <w:rPr>
                <w:sz w:val="22"/>
                <w:lang w:val="en-US"/>
              </w:rPr>
              <w:t>komercyjna</w:t>
            </w:r>
            <w:proofErr w:type="spellEnd"/>
            <w:r w:rsidRPr="00641095">
              <w:rPr>
                <w:sz w:val="22"/>
                <w:lang w:val="en-US"/>
              </w:rPr>
              <w:t xml:space="preserve"> </w:t>
            </w:r>
            <w:proofErr w:type="spellStart"/>
            <w:r w:rsidRPr="00641095">
              <w:rPr>
                <w:sz w:val="22"/>
                <w:lang w:val="en-US"/>
              </w:rPr>
              <w:t>certyfikująca</w:t>
            </w:r>
            <w:proofErr w:type="spellEnd"/>
            <w:r w:rsidRPr="00641095">
              <w:rPr>
                <w:sz w:val="22"/>
                <w:lang w:val="en-US"/>
              </w:rPr>
              <w:t xml:space="preserve"> w </w:t>
            </w:r>
            <w:proofErr w:type="spellStart"/>
            <w:r w:rsidRPr="00641095">
              <w:rPr>
                <w:sz w:val="22"/>
                <w:lang w:val="en-US"/>
              </w:rPr>
              <w:t>zakresie</w:t>
            </w:r>
            <w:proofErr w:type="spellEnd"/>
            <w:r w:rsidRPr="00641095">
              <w:rPr>
                <w:sz w:val="22"/>
                <w:lang w:val="en-US"/>
              </w:rPr>
              <w:t xml:space="preserve"> </w:t>
            </w:r>
            <w:proofErr w:type="spellStart"/>
            <w:r w:rsidRPr="00641095">
              <w:rPr>
                <w:sz w:val="22"/>
                <w:lang w:val="en-US"/>
              </w:rPr>
              <w:t>bezpieczeństwa</w:t>
            </w:r>
            <w:proofErr w:type="spellEnd"/>
            <w:r w:rsidRPr="00641095">
              <w:rPr>
                <w:sz w:val="22"/>
                <w:lang w:val="en-US"/>
              </w:rPr>
              <w:t xml:space="preserve"> </w:t>
            </w:r>
            <w:proofErr w:type="spellStart"/>
            <w:r w:rsidRPr="00641095">
              <w:rPr>
                <w:sz w:val="22"/>
                <w:lang w:val="en-US"/>
              </w:rPr>
              <w:t>i</w:t>
            </w:r>
            <w:proofErr w:type="spellEnd"/>
            <w:r w:rsidRPr="00641095">
              <w:rPr>
                <w:sz w:val="22"/>
                <w:lang w:val="en-US"/>
              </w:rPr>
              <w:t xml:space="preserve"> </w:t>
            </w:r>
            <w:proofErr w:type="spellStart"/>
            <w:r w:rsidRPr="00641095">
              <w:rPr>
                <w:sz w:val="22"/>
                <w:lang w:val="en-US"/>
              </w:rPr>
              <w:t>ochrony</w:t>
            </w:r>
            <w:proofErr w:type="spellEnd"/>
            <w:r w:rsidRPr="00641095">
              <w:rPr>
                <w:sz w:val="22"/>
                <w:lang w:val="en-US"/>
              </w:rPr>
              <w:t xml:space="preserve"> </w:t>
            </w:r>
            <w:proofErr w:type="spellStart"/>
            <w:r w:rsidRPr="00641095">
              <w:rPr>
                <w:sz w:val="22"/>
                <w:lang w:val="en-US"/>
              </w:rPr>
              <w:t>zdrowia</w:t>
            </w:r>
            <w:proofErr w:type="spellEnd"/>
            <w:r w:rsidRPr="00641095">
              <w:rPr>
                <w:sz w:val="22"/>
                <w:lang w:val="en-US"/>
              </w:rPr>
              <w:t xml:space="preserve"> w </w:t>
            </w:r>
            <w:proofErr w:type="spellStart"/>
            <w:r w:rsidRPr="00641095">
              <w:rPr>
                <w:sz w:val="22"/>
                <w:lang w:val="en-US"/>
              </w:rPr>
              <w:t>obszarze</w:t>
            </w:r>
            <w:proofErr w:type="spellEnd"/>
            <w:r w:rsidRPr="00641095">
              <w:rPr>
                <w:sz w:val="22"/>
                <w:lang w:val="en-US"/>
              </w:rPr>
              <w:t xml:space="preserve"> m.in. </w:t>
            </w:r>
            <w:proofErr w:type="spellStart"/>
            <w:r w:rsidRPr="00641095">
              <w:rPr>
                <w:sz w:val="22"/>
                <w:lang w:val="en-US"/>
              </w:rPr>
              <w:t>urządzeń</w:t>
            </w:r>
            <w:proofErr w:type="spellEnd"/>
            <w:r w:rsidRPr="00641095">
              <w:rPr>
                <w:sz w:val="22"/>
                <w:lang w:val="en-US"/>
              </w:rPr>
              <w:t xml:space="preserve"> </w:t>
            </w:r>
            <w:proofErr w:type="spellStart"/>
            <w:r w:rsidRPr="00641095">
              <w:rPr>
                <w:sz w:val="22"/>
                <w:lang w:val="en-US"/>
              </w:rPr>
              <w:t>gospodarstwa</w:t>
            </w:r>
            <w:proofErr w:type="spellEnd"/>
            <w:r w:rsidRPr="00641095">
              <w:rPr>
                <w:sz w:val="22"/>
                <w:lang w:val="en-US"/>
              </w:rPr>
              <w:t xml:space="preserve"> </w:t>
            </w:r>
            <w:proofErr w:type="spellStart"/>
            <w:r w:rsidRPr="00641095">
              <w:rPr>
                <w:sz w:val="22"/>
                <w:lang w:val="en-US"/>
              </w:rPr>
              <w:t>domowego</w:t>
            </w:r>
            <w:proofErr w:type="spellEnd"/>
            <w:r w:rsidRPr="00641095">
              <w:rPr>
                <w:sz w:val="22"/>
                <w:lang w:val="en-US"/>
              </w:rPr>
              <w:t xml:space="preserve">, </w:t>
            </w:r>
            <w:proofErr w:type="spellStart"/>
            <w:r w:rsidRPr="00641095">
              <w:rPr>
                <w:sz w:val="22"/>
                <w:lang w:val="en-US"/>
              </w:rPr>
              <w:t>baterii</w:t>
            </w:r>
            <w:proofErr w:type="spellEnd"/>
            <w:r w:rsidRPr="00641095">
              <w:rPr>
                <w:sz w:val="22"/>
                <w:lang w:val="en-US"/>
              </w:rPr>
              <w:t xml:space="preserve"> </w:t>
            </w:r>
            <w:proofErr w:type="spellStart"/>
            <w:r w:rsidRPr="00641095">
              <w:rPr>
                <w:sz w:val="22"/>
                <w:lang w:val="en-US"/>
              </w:rPr>
              <w:t>elektrycznych</w:t>
            </w:r>
            <w:proofErr w:type="spellEnd"/>
            <w:r w:rsidRPr="00641095">
              <w:rPr>
                <w:sz w:val="22"/>
                <w:lang w:val="en-US"/>
              </w:rPr>
              <w:t xml:space="preserve">, </w:t>
            </w:r>
            <w:proofErr w:type="spellStart"/>
            <w:r w:rsidRPr="00641095">
              <w:rPr>
                <w:sz w:val="22"/>
                <w:lang w:val="en-US"/>
              </w:rPr>
              <w:t>sprzętu</w:t>
            </w:r>
            <w:proofErr w:type="spellEnd"/>
            <w:r w:rsidRPr="00641095">
              <w:rPr>
                <w:sz w:val="22"/>
                <w:lang w:val="en-US"/>
              </w:rPr>
              <w:t xml:space="preserve"> audio </w:t>
            </w:r>
            <w:proofErr w:type="spellStart"/>
            <w:r w:rsidRPr="00641095">
              <w:rPr>
                <w:sz w:val="22"/>
                <w:lang w:val="en-US"/>
              </w:rPr>
              <w:t>i</w:t>
            </w:r>
            <w:proofErr w:type="spellEnd"/>
            <w:r w:rsidRPr="00641095">
              <w:rPr>
                <w:sz w:val="22"/>
                <w:lang w:val="en-US"/>
              </w:rPr>
              <w:t xml:space="preserve"> </w:t>
            </w:r>
            <w:proofErr w:type="spellStart"/>
            <w:r w:rsidRPr="00641095">
              <w:rPr>
                <w:sz w:val="22"/>
                <w:lang w:val="en-US"/>
              </w:rPr>
              <w:t>wideo</w:t>
            </w:r>
            <w:proofErr w:type="spellEnd"/>
            <w:r w:rsidRPr="00641095">
              <w:rPr>
                <w:sz w:val="22"/>
                <w:lang w:val="en-US"/>
              </w:rPr>
              <w:t xml:space="preserve">, </w:t>
            </w:r>
            <w:proofErr w:type="spellStart"/>
            <w:r w:rsidRPr="00641095">
              <w:rPr>
                <w:sz w:val="22"/>
                <w:lang w:val="en-US"/>
              </w:rPr>
              <w:t>instrumentów</w:t>
            </w:r>
            <w:proofErr w:type="spellEnd"/>
            <w:r w:rsidRPr="00641095">
              <w:rPr>
                <w:sz w:val="22"/>
                <w:lang w:val="en-US"/>
              </w:rPr>
              <w:t xml:space="preserve"> </w:t>
            </w:r>
            <w:proofErr w:type="spellStart"/>
            <w:r w:rsidRPr="00641095">
              <w:rPr>
                <w:sz w:val="22"/>
                <w:lang w:val="en-US"/>
              </w:rPr>
              <w:t>muzycznych</w:t>
            </w:r>
            <w:proofErr w:type="spellEnd"/>
            <w:r w:rsidRPr="00641095">
              <w:rPr>
                <w:sz w:val="22"/>
                <w:lang w:val="en-US"/>
              </w:rPr>
              <w:t xml:space="preserve"> </w:t>
            </w:r>
            <w:proofErr w:type="spellStart"/>
            <w:r w:rsidRPr="00641095">
              <w:rPr>
                <w:sz w:val="22"/>
                <w:lang w:val="en-US"/>
              </w:rPr>
              <w:t>i</w:t>
            </w:r>
            <w:proofErr w:type="spellEnd"/>
            <w:r w:rsidRPr="00641095">
              <w:rPr>
                <w:sz w:val="22"/>
                <w:lang w:val="en-US"/>
              </w:rPr>
              <w:t xml:space="preserve"> </w:t>
            </w:r>
            <w:proofErr w:type="spellStart"/>
            <w:r w:rsidRPr="00641095">
              <w:rPr>
                <w:sz w:val="22"/>
                <w:lang w:val="en-US"/>
              </w:rPr>
              <w:t>sprzętu</w:t>
            </w:r>
            <w:proofErr w:type="spellEnd"/>
            <w:r w:rsidRPr="00641095">
              <w:rPr>
                <w:sz w:val="22"/>
                <w:lang w:val="en-US"/>
              </w:rPr>
              <w:t xml:space="preserve"> IT, </w:t>
            </w:r>
            <w:proofErr w:type="spellStart"/>
            <w:r w:rsidRPr="00641095">
              <w:rPr>
                <w:sz w:val="22"/>
                <w:lang w:val="en-US"/>
              </w:rPr>
              <w:t>oraz</w:t>
            </w:r>
            <w:proofErr w:type="spellEnd"/>
            <w:r w:rsidRPr="00641095">
              <w:rPr>
                <w:sz w:val="22"/>
                <w:lang w:val="en-US"/>
              </w:rPr>
              <w:t xml:space="preserve"> </w:t>
            </w:r>
            <w:proofErr w:type="spellStart"/>
            <w:r w:rsidRPr="00641095">
              <w:rPr>
                <w:sz w:val="22"/>
                <w:lang w:val="en-US"/>
              </w:rPr>
              <w:t>oferująca</w:t>
            </w:r>
            <w:proofErr w:type="spellEnd"/>
            <w:r w:rsidRPr="00641095">
              <w:rPr>
                <w:sz w:val="22"/>
                <w:lang w:val="en-US"/>
              </w:rPr>
              <w:t xml:space="preserve"> testy </w:t>
            </w:r>
            <w:proofErr w:type="spellStart"/>
            <w:r w:rsidRPr="00641095">
              <w:rPr>
                <w:sz w:val="22"/>
                <w:lang w:val="en-US"/>
              </w:rPr>
              <w:t>wydajności</w:t>
            </w:r>
            <w:proofErr w:type="spellEnd"/>
            <w:r w:rsidRPr="00641095">
              <w:rPr>
                <w:sz w:val="22"/>
                <w:lang w:val="en-US"/>
              </w:rPr>
              <w:t xml:space="preserve"> </w:t>
            </w:r>
            <w:proofErr w:type="spellStart"/>
            <w:r w:rsidRPr="00641095">
              <w:rPr>
                <w:sz w:val="22"/>
                <w:lang w:val="en-US"/>
              </w:rPr>
              <w:t>komputerów</w:t>
            </w:r>
            <w:proofErr w:type="spellEnd"/>
            <w:r w:rsidRPr="00641095">
              <w:rPr>
                <w:sz w:val="22"/>
                <w:lang w:val="en-US"/>
              </w:rPr>
              <w:t xml:space="preserve"> (</w:t>
            </w:r>
            <w:proofErr w:type="spellStart"/>
            <w:r w:rsidRPr="00641095">
              <w:rPr>
                <w:sz w:val="22"/>
                <w:lang w:val="en-US"/>
              </w:rPr>
              <w:t>po</w:t>
            </w:r>
            <w:proofErr w:type="spellEnd"/>
            <w:r w:rsidRPr="00641095">
              <w:rPr>
                <w:sz w:val="22"/>
                <w:lang w:val="en-US"/>
              </w:rPr>
              <w:t xml:space="preserve"> </w:t>
            </w:r>
            <w:proofErr w:type="spellStart"/>
            <w:r w:rsidRPr="00641095">
              <w:rPr>
                <w:sz w:val="22"/>
                <w:lang w:val="en-US"/>
              </w:rPr>
              <w:t>wchłąnieciu</w:t>
            </w:r>
            <w:proofErr w:type="spellEnd"/>
            <w:r w:rsidRPr="00641095">
              <w:rPr>
                <w:sz w:val="22"/>
                <w:lang w:val="en-US"/>
              </w:rPr>
              <w:t xml:space="preserve"> w 2018 r. </w:t>
            </w:r>
            <w:proofErr w:type="spellStart"/>
            <w:r w:rsidRPr="00641095">
              <w:rPr>
                <w:sz w:val="22"/>
                <w:lang w:val="en-US"/>
              </w:rPr>
              <w:t>firmy</w:t>
            </w:r>
            <w:proofErr w:type="spellEnd"/>
            <w:r w:rsidRPr="00641095">
              <w:rPr>
                <w:sz w:val="22"/>
                <w:lang w:val="en-US"/>
              </w:rPr>
              <w:t xml:space="preserve"> </w:t>
            </w:r>
            <w:proofErr w:type="spellStart"/>
            <w:r w:rsidRPr="00641095">
              <w:rPr>
                <w:sz w:val="22"/>
                <w:lang w:val="en-US"/>
              </w:rPr>
              <w:t>Futuremark</w:t>
            </w:r>
            <w:proofErr w:type="spellEnd"/>
            <w:r w:rsidRPr="00641095">
              <w:rPr>
                <w:sz w:val="22"/>
                <w:lang w:val="en-US"/>
              </w:rPr>
              <w:t>).</w:t>
            </w:r>
          </w:p>
        </w:tc>
        <w:tc>
          <w:tcPr>
            <w:tcW w:w="3787" w:type="dxa"/>
            <w:shd w:val="clear" w:color="auto" w:fill="auto"/>
            <w:tcMar>
              <w:top w:w="54" w:type="dxa"/>
              <w:left w:w="108" w:type="dxa"/>
              <w:bottom w:w="54" w:type="dxa"/>
              <w:right w:w="108" w:type="dxa"/>
            </w:tcMar>
            <w:hideMark/>
          </w:tcPr>
          <w:p w:rsidR="00565C5F" w:rsidRPr="00641095" w:rsidRDefault="00565C5F" w:rsidP="004A6491">
            <w:pPr>
              <w:spacing w:after="0"/>
              <w:ind w:firstLine="0"/>
              <w:rPr>
                <w:sz w:val="22"/>
                <w:lang w:val="en-US"/>
              </w:rPr>
            </w:pPr>
            <w:proofErr w:type="spellStart"/>
            <w:r w:rsidRPr="00641095">
              <w:rPr>
                <w:sz w:val="22"/>
                <w:lang w:val="en-US"/>
              </w:rPr>
              <w:t>Konsorcjum</w:t>
            </w:r>
            <w:proofErr w:type="spellEnd"/>
            <w:r w:rsidRPr="00641095">
              <w:rPr>
                <w:sz w:val="22"/>
                <w:lang w:val="en-US"/>
              </w:rPr>
              <w:t xml:space="preserve"> non-profit </w:t>
            </w:r>
            <w:proofErr w:type="spellStart"/>
            <w:r w:rsidRPr="00641095">
              <w:rPr>
                <w:sz w:val="22"/>
                <w:lang w:val="en-US"/>
              </w:rPr>
              <w:t>którego</w:t>
            </w:r>
            <w:proofErr w:type="spellEnd"/>
            <w:r w:rsidRPr="00641095">
              <w:rPr>
                <w:sz w:val="22"/>
                <w:lang w:val="en-US"/>
              </w:rPr>
              <w:t xml:space="preserve"> </w:t>
            </w:r>
            <w:proofErr w:type="spellStart"/>
            <w:r w:rsidRPr="00641095">
              <w:rPr>
                <w:sz w:val="22"/>
                <w:lang w:val="en-US"/>
              </w:rPr>
              <w:t>statututową</w:t>
            </w:r>
            <w:proofErr w:type="spellEnd"/>
            <w:r w:rsidRPr="00641095">
              <w:rPr>
                <w:sz w:val="22"/>
                <w:lang w:val="en-US"/>
              </w:rPr>
              <w:t xml:space="preserve"> </w:t>
            </w:r>
            <w:proofErr w:type="spellStart"/>
            <w:r w:rsidRPr="00641095">
              <w:rPr>
                <w:sz w:val="22"/>
                <w:lang w:val="en-US"/>
              </w:rPr>
              <w:t>działalność</w:t>
            </w:r>
            <w:proofErr w:type="spellEnd"/>
            <w:r w:rsidRPr="00641095">
              <w:rPr>
                <w:sz w:val="22"/>
                <w:lang w:val="en-US"/>
              </w:rPr>
              <w:t xml:space="preserve"> </w:t>
            </w:r>
            <w:proofErr w:type="spellStart"/>
            <w:r w:rsidRPr="00641095">
              <w:rPr>
                <w:sz w:val="22"/>
                <w:lang w:val="en-US"/>
              </w:rPr>
              <w:t>stanowi</w:t>
            </w:r>
            <w:proofErr w:type="spellEnd"/>
            <w:r w:rsidRPr="00641095">
              <w:rPr>
                <w:sz w:val="22"/>
                <w:lang w:val="en-US"/>
              </w:rPr>
              <w:t xml:space="preserve"> </w:t>
            </w:r>
            <w:proofErr w:type="spellStart"/>
            <w:r w:rsidRPr="00641095">
              <w:rPr>
                <w:sz w:val="22"/>
                <w:lang w:val="en-US"/>
              </w:rPr>
              <w:t>opracowywanie</w:t>
            </w:r>
            <w:proofErr w:type="spellEnd"/>
            <w:r w:rsidRPr="00641095">
              <w:rPr>
                <w:sz w:val="22"/>
                <w:lang w:val="en-US"/>
              </w:rPr>
              <w:t xml:space="preserve"> </w:t>
            </w:r>
            <w:proofErr w:type="spellStart"/>
            <w:r w:rsidRPr="00641095">
              <w:rPr>
                <w:sz w:val="22"/>
                <w:lang w:val="en-US"/>
              </w:rPr>
              <w:t>i</w:t>
            </w:r>
            <w:proofErr w:type="spellEnd"/>
            <w:r w:rsidRPr="00641095">
              <w:rPr>
                <w:sz w:val="22"/>
                <w:lang w:val="en-US"/>
              </w:rPr>
              <w:t xml:space="preserve"> </w:t>
            </w:r>
            <w:proofErr w:type="spellStart"/>
            <w:r w:rsidRPr="00641095">
              <w:rPr>
                <w:sz w:val="22"/>
                <w:lang w:val="en-US"/>
              </w:rPr>
              <w:t>dystrybucja</w:t>
            </w:r>
            <w:proofErr w:type="spellEnd"/>
            <w:r w:rsidRPr="00641095">
              <w:rPr>
                <w:sz w:val="22"/>
                <w:lang w:val="en-US"/>
              </w:rPr>
              <w:t xml:space="preserve"> </w:t>
            </w:r>
            <w:proofErr w:type="spellStart"/>
            <w:r w:rsidRPr="00641095">
              <w:rPr>
                <w:sz w:val="22"/>
                <w:lang w:val="en-US"/>
              </w:rPr>
              <w:t>zestawu</w:t>
            </w:r>
            <w:proofErr w:type="spellEnd"/>
            <w:r w:rsidRPr="00641095">
              <w:rPr>
                <w:sz w:val="22"/>
                <w:lang w:val="en-US"/>
              </w:rPr>
              <w:t xml:space="preserve"> </w:t>
            </w:r>
            <w:proofErr w:type="spellStart"/>
            <w:r w:rsidRPr="00641095">
              <w:rPr>
                <w:sz w:val="22"/>
                <w:lang w:val="en-US"/>
              </w:rPr>
              <w:t>obiektywnych</w:t>
            </w:r>
            <w:proofErr w:type="spellEnd"/>
            <w:r w:rsidRPr="00641095">
              <w:rPr>
                <w:sz w:val="22"/>
                <w:lang w:val="en-US"/>
              </w:rPr>
              <w:t xml:space="preserve"> </w:t>
            </w:r>
            <w:proofErr w:type="spellStart"/>
            <w:r w:rsidRPr="00641095">
              <w:rPr>
                <w:sz w:val="22"/>
                <w:lang w:val="en-US"/>
              </w:rPr>
              <w:t>testów</w:t>
            </w:r>
            <w:proofErr w:type="spellEnd"/>
            <w:r w:rsidRPr="00641095">
              <w:rPr>
                <w:sz w:val="22"/>
                <w:lang w:val="en-US"/>
              </w:rPr>
              <w:t xml:space="preserve"> </w:t>
            </w:r>
            <w:proofErr w:type="spellStart"/>
            <w:r w:rsidRPr="00641095">
              <w:rPr>
                <w:sz w:val="22"/>
                <w:lang w:val="en-US"/>
              </w:rPr>
              <w:t>porównawczych</w:t>
            </w:r>
            <w:proofErr w:type="spellEnd"/>
            <w:r w:rsidRPr="00641095">
              <w:rPr>
                <w:sz w:val="22"/>
                <w:lang w:val="en-US"/>
              </w:rPr>
              <w:t xml:space="preserve"> </w:t>
            </w:r>
            <w:proofErr w:type="spellStart"/>
            <w:r w:rsidRPr="00641095">
              <w:rPr>
                <w:sz w:val="22"/>
                <w:lang w:val="en-US"/>
              </w:rPr>
              <w:t>wydajności</w:t>
            </w:r>
            <w:proofErr w:type="spellEnd"/>
            <w:r w:rsidRPr="00641095">
              <w:rPr>
                <w:sz w:val="22"/>
                <w:lang w:val="en-US"/>
              </w:rPr>
              <w:t xml:space="preserve"> </w:t>
            </w:r>
            <w:proofErr w:type="spellStart"/>
            <w:r w:rsidRPr="00641095">
              <w:rPr>
                <w:sz w:val="22"/>
                <w:lang w:val="en-US"/>
              </w:rPr>
              <w:t>dla</w:t>
            </w:r>
            <w:proofErr w:type="spellEnd"/>
            <w:r w:rsidRPr="00641095">
              <w:rPr>
                <w:sz w:val="22"/>
                <w:lang w:val="en-US"/>
              </w:rPr>
              <w:t xml:space="preserve"> </w:t>
            </w:r>
            <w:proofErr w:type="spellStart"/>
            <w:r w:rsidRPr="00641095">
              <w:rPr>
                <w:sz w:val="22"/>
                <w:lang w:val="en-US"/>
              </w:rPr>
              <w:t>komputerów</w:t>
            </w:r>
            <w:proofErr w:type="spellEnd"/>
            <w:r w:rsidRPr="00641095">
              <w:rPr>
                <w:sz w:val="22"/>
                <w:lang w:val="en-US"/>
              </w:rPr>
              <w:t xml:space="preserve"> </w:t>
            </w:r>
            <w:proofErr w:type="spellStart"/>
            <w:r w:rsidRPr="00641095">
              <w:rPr>
                <w:sz w:val="22"/>
                <w:lang w:val="en-US"/>
              </w:rPr>
              <w:t>osobistych</w:t>
            </w:r>
            <w:proofErr w:type="spellEnd"/>
            <w:r w:rsidRPr="00641095">
              <w:rPr>
                <w:sz w:val="22"/>
                <w:lang w:val="en-US"/>
              </w:rPr>
              <w:t xml:space="preserve"> </w:t>
            </w:r>
            <w:proofErr w:type="spellStart"/>
            <w:r w:rsidRPr="00641095">
              <w:rPr>
                <w:sz w:val="22"/>
                <w:lang w:val="en-US"/>
              </w:rPr>
              <w:t>opartych</w:t>
            </w:r>
            <w:proofErr w:type="spellEnd"/>
            <w:r w:rsidRPr="00641095">
              <w:rPr>
                <w:sz w:val="22"/>
                <w:lang w:val="en-US"/>
              </w:rPr>
              <w:t xml:space="preserve"> </w:t>
            </w:r>
            <w:proofErr w:type="spellStart"/>
            <w:r w:rsidRPr="00641095">
              <w:rPr>
                <w:sz w:val="22"/>
                <w:lang w:val="en-US"/>
              </w:rPr>
              <w:t>na</w:t>
            </w:r>
            <w:proofErr w:type="spellEnd"/>
            <w:r w:rsidRPr="00641095">
              <w:rPr>
                <w:sz w:val="22"/>
                <w:lang w:val="en-US"/>
              </w:rPr>
              <w:t xml:space="preserve"> </w:t>
            </w:r>
            <w:proofErr w:type="spellStart"/>
            <w:r w:rsidRPr="00641095">
              <w:rPr>
                <w:sz w:val="22"/>
                <w:lang w:val="en-US"/>
              </w:rPr>
              <w:t>popularnych</w:t>
            </w:r>
            <w:proofErr w:type="spellEnd"/>
            <w:r w:rsidRPr="00641095">
              <w:rPr>
                <w:sz w:val="22"/>
                <w:lang w:val="en-US"/>
              </w:rPr>
              <w:t xml:space="preserve"> </w:t>
            </w:r>
            <w:proofErr w:type="spellStart"/>
            <w:r w:rsidRPr="00641095">
              <w:rPr>
                <w:sz w:val="22"/>
                <w:lang w:val="en-US"/>
              </w:rPr>
              <w:t>aplikacjach</w:t>
            </w:r>
            <w:proofErr w:type="spellEnd"/>
            <w:r w:rsidRPr="00641095">
              <w:rPr>
                <w:sz w:val="22"/>
                <w:lang w:val="en-US"/>
              </w:rPr>
              <w:t xml:space="preserve"> </w:t>
            </w:r>
            <w:proofErr w:type="spellStart"/>
            <w:r w:rsidRPr="00641095">
              <w:rPr>
                <w:sz w:val="22"/>
                <w:lang w:val="en-US"/>
              </w:rPr>
              <w:t>i</w:t>
            </w:r>
            <w:proofErr w:type="spellEnd"/>
            <w:r w:rsidRPr="00641095">
              <w:rPr>
                <w:sz w:val="22"/>
                <w:lang w:val="en-US"/>
              </w:rPr>
              <w:t xml:space="preserve"> </w:t>
            </w:r>
            <w:proofErr w:type="spellStart"/>
            <w:r w:rsidRPr="00641095">
              <w:rPr>
                <w:sz w:val="22"/>
                <w:lang w:val="en-US"/>
              </w:rPr>
              <w:t>systemach</w:t>
            </w:r>
            <w:proofErr w:type="spellEnd"/>
            <w:r w:rsidRPr="00641095">
              <w:rPr>
                <w:sz w:val="22"/>
                <w:lang w:val="en-US"/>
              </w:rPr>
              <w:t xml:space="preserve"> </w:t>
            </w:r>
            <w:proofErr w:type="spellStart"/>
            <w:r w:rsidRPr="00641095">
              <w:rPr>
                <w:sz w:val="22"/>
                <w:lang w:val="en-US"/>
              </w:rPr>
              <w:t>operacyjnych</w:t>
            </w:r>
            <w:proofErr w:type="spellEnd"/>
            <w:r w:rsidRPr="00641095">
              <w:rPr>
                <w:sz w:val="22"/>
                <w:lang w:val="en-US"/>
              </w:rPr>
              <w:t>.</w:t>
            </w:r>
          </w:p>
          <w:p w:rsidR="00565C5F" w:rsidRPr="00641095" w:rsidRDefault="00565C5F" w:rsidP="004A6491">
            <w:pPr>
              <w:spacing w:after="0"/>
              <w:rPr>
                <w:sz w:val="22"/>
                <w:lang w:val="en-US"/>
              </w:rPr>
            </w:pPr>
          </w:p>
          <w:p w:rsidR="00565C5F" w:rsidRPr="00641095" w:rsidRDefault="00C04514" w:rsidP="004A6491">
            <w:pPr>
              <w:spacing w:after="0"/>
              <w:ind w:firstLine="0"/>
              <w:rPr>
                <w:sz w:val="22"/>
                <w:lang w:val="en-US"/>
              </w:rPr>
            </w:pPr>
            <w:proofErr w:type="spellStart"/>
            <w:r w:rsidRPr="00641095">
              <w:rPr>
                <w:sz w:val="22"/>
                <w:lang w:val="en-US"/>
              </w:rPr>
              <w:t>Obecni</w:t>
            </w:r>
            <w:proofErr w:type="spellEnd"/>
            <w:r w:rsidRPr="00641095">
              <w:rPr>
                <w:sz w:val="22"/>
                <w:lang w:val="en-US"/>
              </w:rPr>
              <w:t xml:space="preserve"> </w:t>
            </w:r>
            <w:proofErr w:type="spellStart"/>
            <w:r w:rsidRPr="00641095">
              <w:rPr>
                <w:sz w:val="22"/>
                <w:lang w:val="en-US"/>
              </w:rPr>
              <w:t>członkowie</w:t>
            </w:r>
            <w:proofErr w:type="spellEnd"/>
            <w:r w:rsidRPr="00641095">
              <w:rPr>
                <w:sz w:val="22"/>
                <w:lang w:val="en-US"/>
              </w:rPr>
              <w:t xml:space="preserve"> </w:t>
            </w:r>
            <w:proofErr w:type="spellStart"/>
            <w:r w:rsidRPr="00641095">
              <w:rPr>
                <w:sz w:val="22"/>
                <w:lang w:val="en-US"/>
              </w:rPr>
              <w:t>BAPCo</w:t>
            </w:r>
            <w:proofErr w:type="spellEnd"/>
            <w:r w:rsidRPr="00641095">
              <w:rPr>
                <w:sz w:val="22"/>
                <w:lang w:val="en-US"/>
              </w:rPr>
              <w:t xml:space="preserve"> to m. in.: Acer, </w:t>
            </w:r>
            <w:proofErr w:type="spellStart"/>
            <w:r w:rsidRPr="00641095">
              <w:rPr>
                <w:sz w:val="22"/>
                <w:lang w:val="en-US"/>
              </w:rPr>
              <w:t>ARCIntuition</w:t>
            </w:r>
            <w:proofErr w:type="spellEnd"/>
            <w:r w:rsidRPr="00641095">
              <w:rPr>
                <w:sz w:val="22"/>
                <w:lang w:val="en-US"/>
              </w:rPr>
              <w:t xml:space="preserve">, </w:t>
            </w:r>
            <w:proofErr w:type="spellStart"/>
            <w:r w:rsidRPr="00641095">
              <w:rPr>
                <w:sz w:val="22"/>
                <w:lang w:val="en-US"/>
              </w:rPr>
              <w:t>Compal</w:t>
            </w:r>
            <w:proofErr w:type="spellEnd"/>
            <w:r w:rsidRPr="00641095">
              <w:rPr>
                <w:sz w:val="22"/>
                <w:lang w:val="en-US"/>
              </w:rPr>
              <w:t xml:space="preserve">, Dell, </w:t>
            </w:r>
            <w:proofErr w:type="spellStart"/>
            <w:r w:rsidRPr="00641095">
              <w:rPr>
                <w:sz w:val="22"/>
                <w:lang w:val="en-US"/>
              </w:rPr>
              <w:lastRenderedPageBreak/>
              <w:t>Dynabook</w:t>
            </w:r>
            <w:proofErr w:type="spellEnd"/>
            <w:r w:rsidRPr="00641095">
              <w:rPr>
                <w:sz w:val="22"/>
                <w:lang w:val="en-US"/>
              </w:rPr>
              <w:t xml:space="preserve">, Hewlett-Packard, Hitachi, Intel, </w:t>
            </w:r>
            <w:proofErr w:type="spellStart"/>
            <w:r w:rsidRPr="00641095">
              <w:rPr>
                <w:sz w:val="22"/>
                <w:lang w:val="en-US"/>
              </w:rPr>
              <w:t>Inventec</w:t>
            </w:r>
            <w:proofErr w:type="spellEnd"/>
            <w:r w:rsidRPr="00641095">
              <w:rPr>
                <w:sz w:val="22"/>
                <w:lang w:val="en-US"/>
              </w:rPr>
              <w:t xml:space="preserve">, LC Future Center, Lenovo, </w:t>
            </w:r>
            <w:proofErr w:type="spellStart"/>
            <w:r w:rsidRPr="00641095">
              <w:rPr>
                <w:sz w:val="22"/>
                <w:lang w:val="en-US"/>
              </w:rPr>
              <w:t>Pegatron</w:t>
            </w:r>
            <w:proofErr w:type="spellEnd"/>
            <w:r w:rsidRPr="00641095">
              <w:rPr>
                <w:sz w:val="22"/>
                <w:lang w:val="en-US"/>
              </w:rPr>
              <w:t xml:space="preserve">, Quanta Computer,  Samsung, Western Digital, </w:t>
            </w:r>
            <w:proofErr w:type="spellStart"/>
            <w:r w:rsidRPr="00641095">
              <w:rPr>
                <w:sz w:val="22"/>
                <w:lang w:val="en-US"/>
              </w:rPr>
              <w:t>Wistron</w:t>
            </w:r>
            <w:proofErr w:type="spellEnd"/>
            <w:r w:rsidRPr="00641095">
              <w:rPr>
                <w:sz w:val="22"/>
                <w:lang w:val="en-US"/>
              </w:rPr>
              <w:t xml:space="preserve"> </w:t>
            </w:r>
            <w:proofErr w:type="spellStart"/>
            <w:r w:rsidRPr="00641095">
              <w:rPr>
                <w:sz w:val="22"/>
                <w:lang w:val="en-US"/>
              </w:rPr>
              <w:t>i</w:t>
            </w:r>
            <w:proofErr w:type="spellEnd"/>
            <w:r w:rsidRPr="00641095">
              <w:rPr>
                <w:sz w:val="22"/>
                <w:lang w:val="en-US"/>
              </w:rPr>
              <w:t xml:space="preserve"> </w:t>
            </w:r>
            <w:proofErr w:type="spellStart"/>
            <w:r w:rsidRPr="00641095">
              <w:rPr>
                <w:sz w:val="22"/>
                <w:lang w:val="en-US"/>
              </w:rPr>
              <w:t>inni</w:t>
            </w:r>
            <w:proofErr w:type="spellEnd"/>
            <w:r w:rsidRPr="00641095">
              <w:rPr>
                <w:sz w:val="22"/>
                <w:lang w:val="en-US"/>
              </w:rPr>
              <w:t>.</w:t>
            </w:r>
          </w:p>
        </w:tc>
      </w:tr>
      <w:tr w:rsidR="00565C5F" w:rsidRPr="00450C4B" w:rsidTr="004A6491">
        <w:trPr>
          <w:trHeight w:val="1080"/>
        </w:trPr>
        <w:tc>
          <w:tcPr>
            <w:tcW w:w="1905" w:type="dxa"/>
            <w:shd w:val="clear" w:color="auto" w:fill="auto"/>
            <w:tcMar>
              <w:top w:w="54" w:type="dxa"/>
              <w:left w:w="108" w:type="dxa"/>
              <w:bottom w:w="54" w:type="dxa"/>
              <w:right w:w="108" w:type="dxa"/>
            </w:tcMar>
            <w:hideMark/>
          </w:tcPr>
          <w:p w:rsidR="00565C5F" w:rsidRPr="00641095" w:rsidRDefault="00565C5F" w:rsidP="004A6491">
            <w:pPr>
              <w:spacing w:after="0"/>
              <w:ind w:firstLine="0"/>
              <w:rPr>
                <w:rFonts w:eastAsia="Times New Roman"/>
                <w:b/>
                <w:bCs/>
                <w:sz w:val="22"/>
              </w:rPr>
            </w:pPr>
            <w:r w:rsidRPr="00641095">
              <w:rPr>
                <w:rFonts w:eastAsia="Times New Roman"/>
                <w:b/>
                <w:bCs/>
                <w:kern w:val="24"/>
                <w:sz w:val="22"/>
              </w:rPr>
              <w:lastRenderedPageBreak/>
              <w:t>Istotne aplikacje wykorzystane w benchmarku</w:t>
            </w:r>
          </w:p>
        </w:tc>
        <w:tc>
          <w:tcPr>
            <w:tcW w:w="3472" w:type="dxa"/>
            <w:shd w:val="clear" w:color="auto" w:fill="auto"/>
            <w:tcMar>
              <w:top w:w="54" w:type="dxa"/>
              <w:left w:w="108" w:type="dxa"/>
              <w:bottom w:w="54" w:type="dxa"/>
              <w:right w:w="108" w:type="dxa"/>
            </w:tcMar>
            <w:hideMark/>
          </w:tcPr>
          <w:p w:rsidR="00565C5F" w:rsidRPr="00641095" w:rsidRDefault="00565C5F" w:rsidP="004A6491">
            <w:pPr>
              <w:spacing w:after="0"/>
              <w:ind w:firstLine="0"/>
              <w:rPr>
                <w:sz w:val="22"/>
                <w:lang w:val="en-US"/>
              </w:rPr>
            </w:pPr>
            <w:proofErr w:type="spellStart"/>
            <w:r w:rsidRPr="00641095">
              <w:rPr>
                <w:sz w:val="22"/>
                <w:lang w:val="en-US"/>
              </w:rPr>
              <w:t>LibreOffice</w:t>
            </w:r>
            <w:proofErr w:type="spellEnd"/>
            <w:r w:rsidRPr="00641095">
              <w:rPr>
                <w:sz w:val="22"/>
                <w:lang w:val="en-US"/>
              </w:rPr>
              <w:t>*</w:t>
            </w:r>
          </w:p>
          <w:p w:rsidR="00565C5F" w:rsidRPr="00641095" w:rsidRDefault="00565C5F" w:rsidP="004A6491">
            <w:pPr>
              <w:spacing w:after="0"/>
              <w:ind w:firstLine="0"/>
              <w:rPr>
                <w:sz w:val="22"/>
                <w:lang w:val="en-US"/>
              </w:rPr>
            </w:pPr>
            <w:proofErr w:type="spellStart"/>
            <w:r w:rsidRPr="00641095">
              <w:rPr>
                <w:sz w:val="22"/>
                <w:lang w:val="en-US"/>
              </w:rPr>
              <w:t>ImageMagick</w:t>
            </w:r>
            <w:proofErr w:type="spellEnd"/>
            <w:r w:rsidRPr="00641095">
              <w:rPr>
                <w:sz w:val="22"/>
                <w:lang w:val="en-US"/>
              </w:rPr>
              <w:t>*</w:t>
            </w:r>
          </w:p>
          <w:p w:rsidR="00565C5F" w:rsidRPr="00641095" w:rsidRDefault="00565C5F" w:rsidP="004A6491">
            <w:pPr>
              <w:spacing w:after="0"/>
              <w:ind w:firstLine="0"/>
              <w:rPr>
                <w:sz w:val="22"/>
                <w:lang w:val="en-US"/>
              </w:rPr>
            </w:pPr>
            <w:r w:rsidRPr="00641095">
              <w:rPr>
                <w:sz w:val="22"/>
                <w:lang w:val="en-US"/>
              </w:rPr>
              <w:t>Chromium*</w:t>
            </w:r>
          </w:p>
        </w:tc>
        <w:tc>
          <w:tcPr>
            <w:tcW w:w="3787" w:type="dxa"/>
            <w:shd w:val="clear" w:color="auto" w:fill="auto"/>
            <w:tcMar>
              <w:top w:w="54" w:type="dxa"/>
              <w:left w:w="108" w:type="dxa"/>
              <w:bottom w:w="54" w:type="dxa"/>
              <w:right w:w="108" w:type="dxa"/>
            </w:tcMar>
            <w:hideMark/>
          </w:tcPr>
          <w:p w:rsidR="00565C5F" w:rsidRPr="00641095" w:rsidRDefault="00C04514" w:rsidP="004A6491">
            <w:pPr>
              <w:spacing w:after="0"/>
              <w:ind w:firstLine="0"/>
              <w:rPr>
                <w:sz w:val="22"/>
                <w:lang w:val="en-US"/>
              </w:rPr>
            </w:pPr>
            <w:r w:rsidRPr="00641095">
              <w:rPr>
                <w:sz w:val="22"/>
                <w:lang w:val="en-US"/>
              </w:rPr>
              <w:t>Microsoft Office*</w:t>
            </w:r>
          </w:p>
          <w:p w:rsidR="00565C5F" w:rsidRPr="00641095" w:rsidRDefault="00C04514" w:rsidP="004A6491">
            <w:pPr>
              <w:spacing w:after="0"/>
              <w:ind w:firstLine="0"/>
              <w:rPr>
                <w:sz w:val="22"/>
                <w:lang w:val="en-US"/>
              </w:rPr>
            </w:pPr>
            <w:r w:rsidRPr="00641095">
              <w:rPr>
                <w:sz w:val="22"/>
                <w:lang w:val="en-US"/>
              </w:rPr>
              <w:t>Adobe Creative Cloud*</w:t>
            </w:r>
          </w:p>
          <w:p w:rsidR="00565C5F" w:rsidRPr="00641095" w:rsidRDefault="00C04514" w:rsidP="004A6491">
            <w:pPr>
              <w:spacing w:after="0"/>
              <w:ind w:firstLine="0"/>
              <w:rPr>
                <w:sz w:val="22"/>
                <w:lang w:val="en-US"/>
              </w:rPr>
            </w:pPr>
            <w:r w:rsidRPr="00641095">
              <w:rPr>
                <w:sz w:val="22"/>
                <w:lang w:val="en-US"/>
              </w:rPr>
              <w:t>Google Chrome*</w:t>
            </w:r>
          </w:p>
        </w:tc>
      </w:tr>
      <w:tr w:rsidR="00565C5F" w:rsidRPr="00C52208" w:rsidTr="004A6491">
        <w:trPr>
          <w:trHeight w:val="756"/>
        </w:trPr>
        <w:tc>
          <w:tcPr>
            <w:tcW w:w="1905" w:type="dxa"/>
            <w:shd w:val="clear" w:color="auto" w:fill="auto"/>
            <w:tcMar>
              <w:top w:w="54" w:type="dxa"/>
              <w:left w:w="108" w:type="dxa"/>
              <w:bottom w:w="54" w:type="dxa"/>
              <w:right w:w="108" w:type="dxa"/>
            </w:tcMar>
            <w:hideMark/>
          </w:tcPr>
          <w:p w:rsidR="00565C5F" w:rsidRPr="00641095" w:rsidRDefault="00565C5F" w:rsidP="004A6491">
            <w:pPr>
              <w:spacing w:after="0"/>
              <w:ind w:firstLine="0"/>
              <w:rPr>
                <w:rFonts w:eastAsia="Times New Roman"/>
                <w:b/>
                <w:bCs/>
                <w:sz w:val="22"/>
              </w:rPr>
            </w:pPr>
            <w:r w:rsidRPr="00641095">
              <w:rPr>
                <w:rFonts w:eastAsia="Times New Roman"/>
                <w:b/>
                <w:bCs/>
                <w:kern w:val="24"/>
                <w:sz w:val="22"/>
              </w:rPr>
              <w:t>Profil aplikacji</w:t>
            </w:r>
          </w:p>
        </w:tc>
        <w:tc>
          <w:tcPr>
            <w:tcW w:w="3472" w:type="dxa"/>
            <w:shd w:val="clear" w:color="auto" w:fill="auto"/>
            <w:tcMar>
              <w:top w:w="54" w:type="dxa"/>
              <w:left w:w="108" w:type="dxa"/>
              <w:bottom w:w="54" w:type="dxa"/>
              <w:right w:w="108" w:type="dxa"/>
            </w:tcMar>
            <w:hideMark/>
          </w:tcPr>
          <w:p w:rsidR="00565C5F" w:rsidRPr="00641095" w:rsidRDefault="00565C5F" w:rsidP="004A6491">
            <w:pPr>
              <w:spacing w:after="0"/>
              <w:ind w:firstLine="0"/>
              <w:rPr>
                <w:sz w:val="22"/>
                <w:lang w:val="en-US"/>
              </w:rPr>
            </w:pPr>
            <w:proofErr w:type="spellStart"/>
            <w:r w:rsidRPr="00641095">
              <w:rPr>
                <w:sz w:val="22"/>
                <w:lang w:val="en-US"/>
              </w:rPr>
              <w:t>Oprogramowanie</w:t>
            </w:r>
            <w:proofErr w:type="spellEnd"/>
            <w:r w:rsidRPr="00641095">
              <w:rPr>
                <w:sz w:val="22"/>
                <w:lang w:val="en-US"/>
              </w:rPr>
              <w:t xml:space="preserve"> open source.</w:t>
            </w:r>
          </w:p>
          <w:p w:rsidR="00565C5F" w:rsidRPr="00641095" w:rsidRDefault="00565C5F" w:rsidP="004A6491">
            <w:pPr>
              <w:spacing w:after="0"/>
              <w:ind w:firstLine="0"/>
              <w:rPr>
                <w:sz w:val="22"/>
                <w:lang w:val="en-US"/>
              </w:rPr>
            </w:pPr>
            <w:proofErr w:type="spellStart"/>
            <w:r w:rsidRPr="00641095">
              <w:rPr>
                <w:sz w:val="22"/>
                <w:lang w:val="en-US"/>
              </w:rPr>
              <w:t>Zbudowany</w:t>
            </w:r>
            <w:proofErr w:type="spellEnd"/>
            <w:r w:rsidRPr="00641095">
              <w:rPr>
                <w:sz w:val="22"/>
                <w:lang w:val="en-US"/>
              </w:rPr>
              <w:t xml:space="preserve"> </w:t>
            </w:r>
            <w:proofErr w:type="spellStart"/>
            <w:r w:rsidRPr="00641095">
              <w:rPr>
                <w:sz w:val="22"/>
                <w:lang w:val="en-US"/>
              </w:rPr>
              <w:t>i</w:t>
            </w:r>
            <w:proofErr w:type="spellEnd"/>
            <w:r w:rsidRPr="00641095">
              <w:rPr>
                <w:sz w:val="22"/>
                <w:lang w:val="en-US"/>
              </w:rPr>
              <w:t xml:space="preserve"> </w:t>
            </w:r>
            <w:proofErr w:type="spellStart"/>
            <w:r w:rsidRPr="00641095">
              <w:rPr>
                <w:sz w:val="22"/>
                <w:lang w:val="en-US"/>
              </w:rPr>
              <w:t>skompilowany</w:t>
            </w:r>
            <w:proofErr w:type="spellEnd"/>
            <w:r w:rsidRPr="00641095">
              <w:rPr>
                <w:sz w:val="22"/>
                <w:lang w:val="en-US"/>
              </w:rPr>
              <w:t xml:space="preserve"> </w:t>
            </w:r>
            <w:proofErr w:type="spellStart"/>
            <w:r w:rsidRPr="00641095">
              <w:rPr>
                <w:sz w:val="22"/>
                <w:lang w:val="en-US"/>
              </w:rPr>
              <w:t>przez</w:t>
            </w:r>
            <w:proofErr w:type="spellEnd"/>
            <w:r w:rsidRPr="00641095">
              <w:rPr>
                <w:sz w:val="22"/>
                <w:lang w:val="en-US"/>
              </w:rPr>
              <w:t xml:space="preserve"> UL / </w:t>
            </w:r>
            <w:proofErr w:type="spellStart"/>
            <w:r w:rsidRPr="00641095">
              <w:rPr>
                <w:sz w:val="22"/>
                <w:lang w:val="en-US"/>
              </w:rPr>
              <w:t>Futuremark</w:t>
            </w:r>
            <w:proofErr w:type="spellEnd"/>
            <w:r w:rsidRPr="00641095">
              <w:rPr>
                <w:sz w:val="22"/>
                <w:lang w:val="en-US"/>
              </w:rPr>
              <w:t xml:space="preserve"> – </w:t>
            </w:r>
            <w:proofErr w:type="spellStart"/>
            <w:r w:rsidRPr="00641095">
              <w:rPr>
                <w:sz w:val="22"/>
                <w:lang w:val="en-US"/>
              </w:rPr>
              <w:t>niedostę</w:t>
            </w:r>
            <w:r w:rsidR="00271C5D" w:rsidRPr="00641095">
              <w:rPr>
                <w:sz w:val="22"/>
                <w:lang w:val="en-US"/>
              </w:rPr>
              <w:t>p</w:t>
            </w:r>
            <w:r w:rsidRPr="00641095">
              <w:rPr>
                <w:sz w:val="22"/>
                <w:lang w:val="en-US"/>
              </w:rPr>
              <w:t>ne</w:t>
            </w:r>
            <w:proofErr w:type="spellEnd"/>
            <w:r w:rsidRPr="00641095">
              <w:rPr>
                <w:sz w:val="22"/>
                <w:lang w:val="en-US"/>
              </w:rPr>
              <w:t xml:space="preserve"> </w:t>
            </w:r>
            <w:proofErr w:type="spellStart"/>
            <w:r w:rsidRPr="00641095">
              <w:rPr>
                <w:sz w:val="22"/>
                <w:lang w:val="en-US"/>
              </w:rPr>
              <w:t>komercyjnie</w:t>
            </w:r>
            <w:proofErr w:type="spellEnd"/>
            <w:r w:rsidRPr="00641095">
              <w:rPr>
                <w:sz w:val="22"/>
                <w:lang w:val="en-US"/>
              </w:rPr>
              <w:t xml:space="preserve"> (</w:t>
            </w:r>
            <w:proofErr w:type="spellStart"/>
            <w:r w:rsidRPr="00641095">
              <w:rPr>
                <w:sz w:val="22"/>
                <w:lang w:val="en-US"/>
              </w:rPr>
              <w:t>tzw</w:t>
            </w:r>
            <w:proofErr w:type="spellEnd"/>
            <w:r w:rsidRPr="00641095">
              <w:rPr>
                <w:sz w:val="22"/>
                <w:lang w:val="en-US"/>
              </w:rPr>
              <w:t>. not commercial shrink-wrapped).</w:t>
            </w:r>
          </w:p>
        </w:tc>
        <w:tc>
          <w:tcPr>
            <w:tcW w:w="3787" w:type="dxa"/>
            <w:shd w:val="clear" w:color="auto" w:fill="auto"/>
            <w:tcMar>
              <w:top w:w="54" w:type="dxa"/>
              <w:left w:w="108" w:type="dxa"/>
              <w:bottom w:w="54" w:type="dxa"/>
              <w:right w:w="108" w:type="dxa"/>
            </w:tcMar>
            <w:hideMark/>
          </w:tcPr>
          <w:p w:rsidR="00565C5F" w:rsidRPr="00641095" w:rsidRDefault="00565C5F" w:rsidP="004A6491">
            <w:pPr>
              <w:spacing w:after="0"/>
              <w:ind w:firstLine="0"/>
              <w:rPr>
                <w:sz w:val="22"/>
                <w:lang w:val="en-US"/>
              </w:rPr>
            </w:pPr>
            <w:proofErr w:type="spellStart"/>
            <w:r w:rsidRPr="00641095">
              <w:rPr>
                <w:sz w:val="22"/>
                <w:lang w:val="en-US"/>
              </w:rPr>
              <w:t>Powszechnie</w:t>
            </w:r>
            <w:proofErr w:type="spellEnd"/>
            <w:r w:rsidRPr="00641095">
              <w:rPr>
                <w:sz w:val="22"/>
                <w:lang w:val="en-US"/>
              </w:rPr>
              <w:t xml:space="preserve"> </w:t>
            </w:r>
            <w:proofErr w:type="spellStart"/>
            <w:r w:rsidRPr="00641095">
              <w:rPr>
                <w:sz w:val="22"/>
                <w:lang w:val="en-US"/>
              </w:rPr>
              <w:t>wykorzystywane</w:t>
            </w:r>
            <w:proofErr w:type="spellEnd"/>
            <w:r w:rsidRPr="00641095">
              <w:rPr>
                <w:sz w:val="22"/>
                <w:lang w:val="en-US"/>
              </w:rPr>
              <w:t xml:space="preserve"> </w:t>
            </w:r>
            <w:proofErr w:type="spellStart"/>
            <w:r w:rsidRPr="00641095">
              <w:rPr>
                <w:sz w:val="22"/>
                <w:lang w:val="en-US"/>
              </w:rPr>
              <w:t>aplikacje</w:t>
            </w:r>
            <w:proofErr w:type="spellEnd"/>
            <w:r w:rsidRPr="00641095">
              <w:rPr>
                <w:sz w:val="22"/>
                <w:lang w:val="en-US"/>
              </w:rPr>
              <w:t xml:space="preserve"> </w:t>
            </w:r>
            <w:proofErr w:type="spellStart"/>
            <w:r w:rsidRPr="00641095">
              <w:rPr>
                <w:sz w:val="22"/>
                <w:lang w:val="en-US"/>
              </w:rPr>
              <w:t>zwiększające</w:t>
            </w:r>
            <w:proofErr w:type="spellEnd"/>
            <w:r w:rsidRPr="00641095">
              <w:rPr>
                <w:sz w:val="22"/>
                <w:lang w:val="en-US"/>
              </w:rPr>
              <w:t xml:space="preserve"> </w:t>
            </w:r>
            <w:proofErr w:type="spellStart"/>
            <w:r w:rsidRPr="00641095">
              <w:rPr>
                <w:sz w:val="22"/>
                <w:lang w:val="en-US"/>
              </w:rPr>
              <w:t>produktywność</w:t>
            </w:r>
            <w:proofErr w:type="spellEnd"/>
            <w:r w:rsidRPr="00641095">
              <w:rPr>
                <w:sz w:val="22"/>
                <w:lang w:val="en-US"/>
              </w:rPr>
              <w:t>.</w:t>
            </w:r>
          </w:p>
          <w:p w:rsidR="00565C5F" w:rsidRPr="00641095" w:rsidRDefault="00565C5F" w:rsidP="004A6491">
            <w:pPr>
              <w:spacing w:after="0"/>
              <w:ind w:firstLine="0"/>
              <w:rPr>
                <w:sz w:val="22"/>
                <w:lang w:val="en-US"/>
              </w:rPr>
            </w:pPr>
            <w:proofErr w:type="spellStart"/>
            <w:r w:rsidRPr="00641095">
              <w:rPr>
                <w:sz w:val="22"/>
                <w:lang w:val="en-US"/>
              </w:rPr>
              <w:t>Komercyjnie</w:t>
            </w:r>
            <w:proofErr w:type="spellEnd"/>
            <w:r w:rsidRPr="00641095">
              <w:rPr>
                <w:sz w:val="22"/>
                <w:lang w:val="en-US"/>
              </w:rPr>
              <w:t xml:space="preserve"> </w:t>
            </w:r>
            <w:proofErr w:type="spellStart"/>
            <w:r w:rsidRPr="00641095">
              <w:rPr>
                <w:sz w:val="22"/>
                <w:lang w:val="en-US"/>
              </w:rPr>
              <w:t>dostę</w:t>
            </w:r>
            <w:r w:rsidR="00E23945" w:rsidRPr="00641095">
              <w:rPr>
                <w:sz w:val="22"/>
                <w:lang w:val="en-US"/>
              </w:rPr>
              <w:t>p</w:t>
            </w:r>
            <w:r w:rsidRPr="00641095">
              <w:rPr>
                <w:sz w:val="22"/>
                <w:lang w:val="en-US"/>
              </w:rPr>
              <w:t>ne</w:t>
            </w:r>
            <w:proofErr w:type="spellEnd"/>
            <w:r w:rsidRPr="00641095">
              <w:rPr>
                <w:sz w:val="22"/>
                <w:lang w:val="en-US"/>
              </w:rPr>
              <w:t xml:space="preserve"> </w:t>
            </w:r>
            <w:proofErr w:type="spellStart"/>
            <w:r w:rsidRPr="00641095">
              <w:rPr>
                <w:sz w:val="22"/>
                <w:lang w:val="en-US"/>
              </w:rPr>
              <w:t>wersje</w:t>
            </w:r>
            <w:proofErr w:type="spellEnd"/>
            <w:r w:rsidRPr="00641095">
              <w:rPr>
                <w:sz w:val="22"/>
                <w:lang w:val="en-US"/>
              </w:rPr>
              <w:t xml:space="preserve"> </w:t>
            </w:r>
            <w:proofErr w:type="spellStart"/>
            <w:r w:rsidRPr="00641095">
              <w:rPr>
                <w:sz w:val="22"/>
                <w:lang w:val="en-US"/>
              </w:rPr>
              <w:t>oprogramowania</w:t>
            </w:r>
            <w:proofErr w:type="spellEnd"/>
            <w:r w:rsidRPr="00641095">
              <w:rPr>
                <w:sz w:val="22"/>
                <w:lang w:val="en-US"/>
              </w:rPr>
              <w:t xml:space="preserve"> (</w:t>
            </w:r>
            <w:proofErr w:type="spellStart"/>
            <w:r w:rsidRPr="00641095">
              <w:rPr>
                <w:sz w:val="22"/>
                <w:lang w:val="en-US"/>
              </w:rPr>
              <w:t>tzw</w:t>
            </w:r>
            <w:proofErr w:type="spellEnd"/>
            <w:r w:rsidRPr="00641095">
              <w:rPr>
                <w:sz w:val="22"/>
                <w:lang w:val="en-US"/>
              </w:rPr>
              <w:t xml:space="preserve">. commercial shrink-wrapped) </w:t>
            </w:r>
            <w:proofErr w:type="spellStart"/>
            <w:r w:rsidRPr="00641095">
              <w:rPr>
                <w:sz w:val="22"/>
                <w:lang w:val="en-US"/>
              </w:rPr>
              <w:t>dostarczone</w:t>
            </w:r>
            <w:proofErr w:type="spellEnd"/>
            <w:r w:rsidRPr="00641095">
              <w:rPr>
                <w:sz w:val="22"/>
                <w:lang w:val="en-US"/>
              </w:rPr>
              <w:t xml:space="preserve"> </w:t>
            </w:r>
            <w:proofErr w:type="spellStart"/>
            <w:r w:rsidRPr="00641095">
              <w:rPr>
                <w:sz w:val="22"/>
                <w:lang w:val="en-US"/>
              </w:rPr>
              <w:t>bezpośrednio</w:t>
            </w:r>
            <w:proofErr w:type="spellEnd"/>
            <w:r w:rsidRPr="00641095">
              <w:rPr>
                <w:sz w:val="22"/>
                <w:lang w:val="en-US"/>
              </w:rPr>
              <w:t xml:space="preserve"> </w:t>
            </w:r>
            <w:proofErr w:type="spellStart"/>
            <w:r w:rsidRPr="00641095">
              <w:rPr>
                <w:sz w:val="22"/>
                <w:lang w:val="en-US"/>
              </w:rPr>
              <w:t>od</w:t>
            </w:r>
            <w:proofErr w:type="spellEnd"/>
            <w:r w:rsidRPr="00641095">
              <w:rPr>
                <w:sz w:val="22"/>
                <w:lang w:val="en-US"/>
              </w:rPr>
              <w:t xml:space="preserve"> Microsoft and Adobe.</w:t>
            </w:r>
          </w:p>
        </w:tc>
      </w:tr>
      <w:tr w:rsidR="00565C5F" w:rsidRPr="00C52208" w:rsidTr="004A6491">
        <w:trPr>
          <w:trHeight w:val="756"/>
        </w:trPr>
        <w:tc>
          <w:tcPr>
            <w:tcW w:w="1905" w:type="dxa"/>
            <w:shd w:val="clear" w:color="auto" w:fill="auto"/>
            <w:tcMar>
              <w:top w:w="54" w:type="dxa"/>
              <w:left w:w="108" w:type="dxa"/>
              <w:bottom w:w="54" w:type="dxa"/>
              <w:right w:w="108" w:type="dxa"/>
            </w:tcMar>
            <w:hideMark/>
          </w:tcPr>
          <w:p w:rsidR="00565C5F" w:rsidRPr="00641095" w:rsidRDefault="00565C5F" w:rsidP="004A6491">
            <w:pPr>
              <w:spacing w:after="0"/>
              <w:ind w:firstLine="0"/>
              <w:rPr>
                <w:rFonts w:eastAsia="Times New Roman"/>
                <w:b/>
                <w:bCs/>
                <w:sz w:val="22"/>
              </w:rPr>
            </w:pPr>
            <w:r w:rsidRPr="00641095">
              <w:rPr>
                <w:rFonts w:eastAsia="Times New Roman"/>
                <w:b/>
                <w:bCs/>
                <w:kern w:val="24"/>
                <w:sz w:val="22"/>
              </w:rPr>
              <w:t>Kompilacja oprogramowania</w:t>
            </w:r>
          </w:p>
        </w:tc>
        <w:tc>
          <w:tcPr>
            <w:tcW w:w="3472" w:type="dxa"/>
            <w:shd w:val="clear" w:color="auto" w:fill="auto"/>
            <w:tcMar>
              <w:top w:w="54" w:type="dxa"/>
              <w:left w:w="108" w:type="dxa"/>
              <w:bottom w:w="54" w:type="dxa"/>
              <w:right w:w="108" w:type="dxa"/>
            </w:tcMar>
            <w:hideMark/>
          </w:tcPr>
          <w:p w:rsidR="00565C5F" w:rsidRPr="00641095" w:rsidRDefault="00565C5F" w:rsidP="004A6491">
            <w:pPr>
              <w:spacing w:after="0"/>
              <w:ind w:firstLine="0"/>
              <w:rPr>
                <w:sz w:val="22"/>
                <w:lang w:val="en-US"/>
              </w:rPr>
            </w:pPr>
            <w:proofErr w:type="spellStart"/>
            <w:r w:rsidRPr="00641095">
              <w:rPr>
                <w:sz w:val="22"/>
                <w:lang w:val="en-US"/>
              </w:rPr>
              <w:t>Aplikacje</w:t>
            </w:r>
            <w:proofErr w:type="spellEnd"/>
            <w:r w:rsidRPr="00641095">
              <w:rPr>
                <w:sz w:val="22"/>
                <w:lang w:val="en-US"/>
              </w:rPr>
              <w:t xml:space="preserve"> </w:t>
            </w:r>
            <w:proofErr w:type="spellStart"/>
            <w:r w:rsidRPr="00641095">
              <w:rPr>
                <w:sz w:val="22"/>
                <w:lang w:val="en-US"/>
              </w:rPr>
              <w:t>są</w:t>
            </w:r>
            <w:proofErr w:type="spellEnd"/>
            <w:r w:rsidRPr="00641095">
              <w:rPr>
                <w:sz w:val="22"/>
                <w:lang w:val="en-US"/>
              </w:rPr>
              <w:t xml:space="preserve"> </w:t>
            </w:r>
            <w:proofErr w:type="spellStart"/>
            <w:r w:rsidRPr="00641095">
              <w:rPr>
                <w:sz w:val="22"/>
                <w:lang w:val="en-US"/>
              </w:rPr>
              <w:t>tworzone</w:t>
            </w:r>
            <w:proofErr w:type="spellEnd"/>
            <w:r w:rsidRPr="00641095">
              <w:rPr>
                <w:sz w:val="22"/>
                <w:lang w:val="en-US"/>
              </w:rPr>
              <w:t xml:space="preserve"> </w:t>
            </w:r>
            <w:proofErr w:type="spellStart"/>
            <w:r w:rsidRPr="00641095">
              <w:rPr>
                <w:sz w:val="22"/>
                <w:lang w:val="en-US"/>
              </w:rPr>
              <w:t>na</w:t>
            </w:r>
            <w:proofErr w:type="spellEnd"/>
            <w:r w:rsidRPr="00641095">
              <w:rPr>
                <w:sz w:val="22"/>
                <w:lang w:val="en-US"/>
              </w:rPr>
              <w:t xml:space="preserve"> </w:t>
            </w:r>
            <w:proofErr w:type="spellStart"/>
            <w:r w:rsidRPr="00641095">
              <w:rPr>
                <w:sz w:val="22"/>
                <w:lang w:val="en-US"/>
              </w:rPr>
              <w:t>potrzeby</w:t>
            </w:r>
            <w:proofErr w:type="spellEnd"/>
            <w:r w:rsidRPr="00641095">
              <w:rPr>
                <w:sz w:val="22"/>
                <w:lang w:val="en-US"/>
              </w:rPr>
              <w:t xml:space="preserve"> </w:t>
            </w:r>
            <w:proofErr w:type="spellStart"/>
            <w:r w:rsidRPr="00641095">
              <w:rPr>
                <w:sz w:val="22"/>
                <w:lang w:val="en-US"/>
              </w:rPr>
              <w:t>testu</w:t>
            </w:r>
            <w:proofErr w:type="spellEnd"/>
            <w:r w:rsidRPr="00641095">
              <w:rPr>
                <w:sz w:val="22"/>
                <w:lang w:val="en-US"/>
              </w:rPr>
              <w:t xml:space="preserve"> </w:t>
            </w:r>
            <w:proofErr w:type="spellStart"/>
            <w:r w:rsidRPr="00641095">
              <w:rPr>
                <w:sz w:val="22"/>
                <w:lang w:val="en-US"/>
              </w:rPr>
              <w:t>przy</w:t>
            </w:r>
            <w:proofErr w:type="spellEnd"/>
            <w:r w:rsidRPr="00641095">
              <w:rPr>
                <w:sz w:val="22"/>
                <w:lang w:val="en-US"/>
              </w:rPr>
              <w:t xml:space="preserve"> </w:t>
            </w:r>
            <w:proofErr w:type="spellStart"/>
            <w:r w:rsidRPr="00641095">
              <w:rPr>
                <w:sz w:val="22"/>
                <w:lang w:val="en-US"/>
              </w:rPr>
              <w:t>użyciu</w:t>
            </w:r>
            <w:proofErr w:type="spellEnd"/>
            <w:r w:rsidRPr="00641095">
              <w:rPr>
                <w:sz w:val="22"/>
                <w:lang w:val="en-US"/>
              </w:rPr>
              <w:t xml:space="preserve"> </w:t>
            </w:r>
            <w:proofErr w:type="spellStart"/>
            <w:r w:rsidRPr="00641095">
              <w:rPr>
                <w:sz w:val="22"/>
                <w:lang w:val="en-US"/>
              </w:rPr>
              <w:t>własnych</w:t>
            </w:r>
            <w:proofErr w:type="spellEnd"/>
            <w:r w:rsidRPr="00641095">
              <w:rPr>
                <w:sz w:val="22"/>
                <w:lang w:val="en-US"/>
              </w:rPr>
              <w:t xml:space="preserve"> </w:t>
            </w:r>
            <w:proofErr w:type="spellStart"/>
            <w:r w:rsidRPr="00641095">
              <w:rPr>
                <w:sz w:val="22"/>
                <w:lang w:val="en-US"/>
              </w:rPr>
              <w:t>parametrów</w:t>
            </w:r>
            <w:proofErr w:type="spellEnd"/>
            <w:r w:rsidRPr="00641095">
              <w:rPr>
                <w:sz w:val="22"/>
                <w:lang w:val="en-US"/>
              </w:rPr>
              <w:t xml:space="preserve"> </w:t>
            </w:r>
            <w:proofErr w:type="spellStart"/>
            <w:r w:rsidRPr="00641095">
              <w:rPr>
                <w:sz w:val="22"/>
                <w:lang w:val="en-US"/>
              </w:rPr>
              <w:t>producenta</w:t>
            </w:r>
            <w:proofErr w:type="spellEnd"/>
            <w:r w:rsidRPr="00641095">
              <w:rPr>
                <w:sz w:val="22"/>
                <w:lang w:val="en-US"/>
              </w:rPr>
              <w:t>.</w:t>
            </w:r>
          </w:p>
        </w:tc>
        <w:tc>
          <w:tcPr>
            <w:tcW w:w="3787" w:type="dxa"/>
            <w:shd w:val="clear" w:color="auto" w:fill="auto"/>
            <w:tcMar>
              <w:top w:w="54" w:type="dxa"/>
              <w:left w:w="108" w:type="dxa"/>
              <w:bottom w:w="54" w:type="dxa"/>
              <w:right w:w="108" w:type="dxa"/>
            </w:tcMar>
            <w:hideMark/>
          </w:tcPr>
          <w:p w:rsidR="00565C5F" w:rsidRPr="00641095" w:rsidRDefault="00565C5F" w:rsidP="004A6491">
            <w:pPr>
              <w:spacing w:after="0"/>
              <w:ind w:firstLine="0"/>
              <w:rPr>
                <w:sz w:val="22"/>
                <w:lang w:val="en-US"/>
              </w:rPr>
            </w:pPr>
            <w:proofErr w:type="spellStart"/>
            <w:r w:rsidRPr="00641095">
              <w:rPr>
                <w:sz w:val="22"/>
                <w:lang w:val="en-US"/>
              </w:rPr>
              <w:t>Aplikacje</w:t>
            </w:r>
            <w:proofErr w:type="spellEnd"/>
            <w:r w:rsidRPr="00641095">
              <w:rPr>
                <w:sz w:val="22"/>
                <w:lang w:val="en-US"/>
              </w:rPr>
              <w:t xml:space="preserve"> </w:t>
            </w:r>
            <w:proofErr w:type="spellStart"/>
            <w:r w:rsidRPr="00641095">
              <w:rPr>
                <w:sz w:val="22"/>
                <w:lang w:val="en-US"/>
              </w:rPr>
              <w:t>są</w:t>
            </w:r>
            <w:proofErr w:type="spellEnd"/>
            <w:r w:rsidRPr="00641095">
              <w:rPr>
                <w:sz w:val="22"/>
                <w:lang w:val="en-US"/>
              </w:rPr>
              <w:t xml:space="preserve"> </w:t>
            </w:r>
            <w:proofErr w:type="spellStart"/>
            <w:r w:rsidRPr="00641095">
              <w:rPr>
                <w:sz w:val="22"/>
                <w:lang w:val="en-US"/>
              </w:rPr>
              <w:t>dostarczane</w:t>
            </w:r>
            <w:proofErr w:type="spellEnd"/>
            <w:r w:rsidRPr="00641095">
              <w:rPr>
                <w:sz w:val="22"/>
                <w:lang w:val="en-US"/>
              </w:rPr>
              <w:t xml:space="preserve"> w </w:t>
            </w:r>
            <w:proofErr w:type="spellStart"/>
            <w:r w:rsidRPr="00641095">
              <w:rPr>
                <w:sz w:val="22"/>
                <w:lang w:val="en-US"/>
              </w:rPr>
              <w:t>postaci</w:t>
            </w:r>
            <w:proofErr w:type="spellEnd"/>
            <w:r w:rsidRPr="00641095">
              <w:rPr>
                <w:sz w:val="22"/>
                <w:lang w:val="en-US"/>
              </w:rPr>
              <w:t xml:space="preserve"> </w:t>
            </w:r>
            <w:proofErr w:type="spellStart"/>
            <w:r w:rsidRPr="00641095">
              <w:rPr>
                <w:sz w:val="22"/>
                <w:lang w:val="en-US"/>
              </w:rPr>
              <w:t>gotowej</w:t>
            </w:r>
            <w:proofErr w:type="spellEnd"/>
            <w:r w:rsidRPr="00641095">
              <w:rPr>
                <w:sz w:val="22"/>
                <w:lang w:val="en-US"/>
              </w:rPr>
              <w:t xml:space="preserve">, </w:t>
            </w:r>
            <w:proofErr w:type="spellStart"/>
            <w:r w:rsidRPr="00641095">
              <w:rPr>
                <w:sz w:val="22"/>
                <w:lang w:val="en-US"/>
              </w:rPr>
              <w:t>bezpośrednio</w:t>
            </w:r>
            <w:proofErr w:type="spellEnd"/>
            <w:r w:rsidRPr="00641095">
              <w:rPr>
                <w:sz w:val="22"/>
                <w:lang w:val="en-US"/>
              </w:rPr>
              <w:t xml:space="preserve"> od firm Microsoft </w:t>
            </w:r>
            <w:proofErr w:type="spellStart"/>
            <w:r w:rsidRPr="00641095">
              <w:rPr>
                <w:sz w:val="22"/>
                <w:lang w:val="en-US"/>
              </w:rPr>
              <w:t>i</w:t>
            </w:r>
            <w:proofErr w:type="spellEnd"/>
            <w:r w:rsidRPr="00641095">
              <w:rPr>
                <w:sz w:val="22"/>
                <w:lang w:val="en-US"/>
              </w:rPr>
              <w:t xml:space="preserve"> Adobe</w:t>
            </w:r>
          </w:p>
        </w:tc>
      </w:tr>
      <w:tr w:rsidR="00565C5F" w:rsidRPr="00C52208" w:rsidTr="004A6491">
        <w:trPr>
          <w:trHeight w:val="756"/>
        </w:trPr>
        <w:tc>
          <w:tcPr>
            <w:tcW w:w="1905" w:type="dxa"/>
            <w:shd w:val="clear" w:color="auto" w:fill="auto"/>
            <w:tcMar>
              <w:top w:w="54" w:type="dxa"/>
              <w:left w:w="108" w:type="dxa"/>
              <w:bottom w:w="54" w:type="dxa"/>
              <w:right w:w="108" w:type="dxa"/>
            </w:tcMar>
          </w:tcPr>
          <w:p w:rsidR="00565C5F" w:rsidRPr="00641095" w:rsidRDefault="00565C5F" w:rsidP="004A6491">
            <w:pPr>
              <w:spacing w:after="0"/>
              <w:ind w:firstLine="0"/>
              <w:rPr>
                <w:rFonts w:eastAsia="Times New Roman"/>
                <w:b/>
                <w:bCs/>
                <w:kern w:val="24"/>
                <w:sz w:val="22"/>
              </w:rPr>
            </w:pPr>
            <w:r w:rsidRPr="00641095">
              <w:rPr>
                <w:rFonts w:eastAsia="Times New Roman"/>
                <w:b/>
                <w:bCs/>
                <w:kern w:val="24"/>
                <w:sz w:val="22"/>
              </w:rPr>
              <w:t>Koszt licencji dla sektora publicznego</w:t>
            </w:r>
          </w:p>
        </w:tc>
        <w:tc>
          <w:tcPr>
            <w:tcW w:w="3472" w:type="dxa"/>
            <w:shd w:val="clear" w:color="auto" w:fill="auto"/>
            <w:tcMar>
              <w:top w:w="54" w:type="dxa"/>
              <w:left w:w="108" w:type="dxa"/>
              <w:bottom w:w="54" w:type="dxa"/>
              <w:right w:w="108" w:type="dxa"/>
            </w:tcMar>
          </w:tcPr>
          <w:p w:rsidR="00565C5F" w:rsidRPr="00641095" w:rsidRDefault="00565C5F" w:rsidP="004A6491">
            <w:pPr>
              <w:spacing w:after="0"/>
              <w:ind w:firstLine="0"/>
              <w:rPr>
                <w:sz w:val="22"/>
                <w:lang w:val="en-US"/>
              </w:rPr>
            </w:pPr>
            <w:proofErr w:type="spellStart"/>
            <w:r w:rsidRPr="00641095">
              <w:rPr>
                <w:sz w:val="22"/>
                <w:lang w:val="en-US"/>
              </w:rPr>
              <w:t>Darmowe</w:t>
            </w:r>
            <w:proofErr w:type="spellEnd"/>
            <w:r w:rsidRPr="00641095">
              <w:rPr>
                <w:sz w:val="22"/>
                <w:lang w:val="en-US"/>
              </w:rPr>
              <w:t xml:space="preserve"> </w:t>
            </w:r>
            <w:proofErr w:type="spellStart"/>
            <w:r w:rsidRPr="00641095">
              <w:rPr>
                <w:sz w:val="22"/>
                <w:lang w:val="en-US"/>
              </w:rPr>
              <w:t>licencje</w:t>
            </w:r>
            <w:proofErr w:type="spellEnd"/>
            <w:r w:rsidRPr="00641095">
              <w:rPr>
                <w:sz w:val="22"/>
                <w:lang w:val="en-US"/>
              </w:rPr>
              <w:t xml:space="preserve"> </w:t>
            </w:r>
            <w:proofErr w:type="spellStart"/>
            <w:r w:rsidRPr="00641095">
              <w:rPr>
                <w:sz w:val="22"/>
                <w:lang w:val="en-US"/>
              </w:rPr>
              <w:t>dla</w:t>
            </w:r>
            <w:proofErr w:type="spellEnd"/>
            <w:r w:rsidRPr="00641095">
              <w:rPr>
                <w:sz w:val="22"/>
                <w:lang w:val="en-US"/>
              </w:rPr>
              <w:t xml:space="preserve"> </w:t>
            </w:r>
            <w:proofErr w:type="spellStart"/>
            <w:r w:rsidRPr="00641095">
              <w:rPr>
                <w:sz w:val="22"/>
                <w:lang w:val="en-US"/>
              </w:rPr>
              <w:t>sektora</w:t>
            </w:r>
            <w:proofErr w:type="spellEnd"/>
            <w:r w:rsidRPr="00641095">
              <w:rPr>
                <w:sz w:val="22"/>
                <w:lang w:val="en-US"/>
              </w:rPr>
              <w:t xml:space="preserve"> </w:t>
            </w:r>
            <w:proofErr w:type="spellStart"/>
            <w:r w:rsidRPr="00641095">
              <w:rPr>
                <w:sz w:val="22"/>
                <w:lang w:val="en-US"/>
              </w:rPr>
              <w:t>publicznego</w:t>
            </w:r>
            <w:proofErr w:type="spellEnd"/>
            <w:r w:rsidRPr="00641095">
              <w:rPr>
                <w:sz w:val="22"/>
                <w:lang w:val="en-US"/>
              </w:rPr>
              <w:t xml:space="preserve">.  </w:t>
            </w:r>
          </w:p>
          <w:p w:rsidR="00450C4B" w:rsidRPr="00641095" w:rsidRDefault="001D2376" w:rsidP="004A6491">
            <w:pPr>
              <w:spacing w:after="0"/>
              <w:ind w:firstLine="0"/>
              <w:rPr>
                <w:sz w:val="22"/>
                <w:lang w:val="en-US"/>
              </w:rPr>
            </w:pPr>
            <w:hyperlink r:id="rId11" w:history="1">
              <w:r w:rsidR="00450C4B" w:rsidRPr="00641095">
                <w:rPr>
                  <w:sz w:val="22"/>
                  <w:lang w:val="en-US"/>
                </w:rPr>
                <w:t>https://benchmarks.ul.com/services/public-sector-procurement</w:t>
              </w:r>
            </w:hyperlink>
            <w:r w:rsidR="00A6183F" w:rsidRPr="00641095">
              <w:rPr>
                <w:sz w:val="22"/>
                <w:lang w:val="en-US"/>
              </w:rPr>
              <w:t xml:space="preserve"> </w:t>
            </w:r>
            <w:r w:rsidR="004A6491">
              <w:rPr>
                <w:sz w:val="22"/>
                <w:lang w:val="en-US"/>
              </w:rPr>
              <w:t xml:space="preserve"> </w:t>
            </w:r>
          </w:p>
        </w:tc>
        <w:tc>
          <w:tcPr>
            <w:tcW w:w="3787" w:type="dxa"/>
            <w:shd w:val="clear" w:color="auto" w:fill="auto"/>
            <w:tcMar>
              <w:top w:w="54" w:type="dxa"/>
              <w:left w:w="108" w:type="dxa"/>
              <w:bottom w:w="54" w:type="dxa"/>
              <w:right w:w="108" w:type="dxa"/>
            </w:tcMar>
          </w:tcPr>
          <w:p w:rsidR="00565C5F" w:rsidRPr="00641095" w:rsidRDefault="00565C5F" w:rsidP="004A6491">
            <w:pPr>
              <w:spacing w:after="0"/>
              <w:ind w:firstLine="0"/>
              <w:rPr>
                <w:sz w:val="22"/>
                <w:lang w:val="en-US"/>
              </w:rPr>
            </w:pPr>
            <w:proofErr w:type="spellStart"/>
            <w:r w:rsidRPr="00641095">
              <w:rPr>
                <w:sz w:val="22"/>
                <w:lang w:val="en-US"/>
              </w:rPr>
              <w:t>Darmowe</w:t>
            </w:r>
            <w:proofErr w:type="spellEnd"/>
            <w:r w:rsidRPr="00641095">
              <w:rPr>
                <w:sz w:val="22"/>
                <w:lang w:val="en-US"/>
              </w:rPr>
              <w:t xml:space="preserve"> </w:t>
            </w:r>
            <w:proofErr w:type="spellStart"/>
            <w:r w:rsidRPr="00641095">
              <w:rPr>
                <w:sz w:val="22"/>
                <w:lang w:val="en-US"/>
              </w:rPr>
              <w:t>licencje</w:t>
            </w:r>
            <w:proofErr w:type="spellEnd"/>
            <w:r w:rsidRPr="00641095">
              <w:rPr>
                <w:sz w:val="22"/>
                <w:lang w:val="en-US"/>
              </w:rPr>
              <w:t xml:space="preserve"> </w:t>
            </w:r>
            <w:proofErr w:type="spellStart"/>
            <w:r w:rsidRPr="00641095">
              <w:rPr>
                <w:sz w:val="22"/>
                <w:lang w:val="en-US"/>
              </w:rPr>
              <w:t>dla</w:t>
            </w:r>
            <w:proofErr w:type="spellEnd"/>
            <w:r w:rsidRPr="00641095">
              <w:rPr>
                <w:sz w:val="22"/>
                <w:lang w:val="en-US"/>
              </w:rPr>
              <w:t xml:space="preserve"> </w:t>
            </w:r>
            <w:proofErr w:type="spellStart"/>
            <w:r w:rsidRPr="00641095">
              <w:rPr>
                <w:sz w:val="22"/>
                <w:lang w:val="en-US"/>
              </w:rPr>
              <w:t>sektora</w:t>
            </w:r>
            <w:proofErr w:type="spellEnd"/>
            <w:r w:rsidRPr="00641095">
              <w:rPr>
                <w:sz w:val="22"/>
                <w:lang w:val="en-US"/>
              </w:rPr>
              <w:t xml:space="preserve"> </w:t>
            </w:r>
            <w:proofErr w:type="spellStart"/>
            <w:r w:rsidRPr="00641095">
              <w:rPr>
                <w:sz w:val="22"/>
                <w:lang w:val="en-US"/>
              </w:rPr>
              <w:t>publicznego</w:t>
            </w:r>
            <w:proofErr w:type="spellEnd"/>
            <w:r w:rsidRPr="00641095">
              <w:rPr>
                <w:sz w:val="22"/>
                <w:lang w:val="en-US"/>
              </w:rPr>
              <w:t xml:space="preserve">. </w:t>
            </w:r>
          </w:p>
          <w:p w:rsidR="00450C4B" w:rsidRPr="00641095" w:rsidRDefault="001D2376" w:rsidP="004A6491">
            <w:pPr>
              <w:spacing w:after="0"/>
              <w:ind w:firstLine="0"/>
              <w:rPr>
                <w:sz w:val="22"/>
                <w:lang w:val="en-US"/>
              </w:rPr>
            </w:pPr>
            <w:hyperlink r:id="rId12" w:history="1">
              <w:r w:rsidR="00450C4B" w:rsidRPr="00641095">
                <w:rPr>
                  <w:sz w:val="22"/>
                  <w:lang w:val="en-US"/>
                </w:rPr>
                <w:t>https://bapco.com/contact/bgn/</w:t>
              </w:r>
            </w:hyperlink>
            <w:r w:rsidR="004A6491">
              <w:rPr>
                <w:sz w:val="22"/>
                <w:lang w:val="en-US"/>
              </w:rPr>
              <w:t xml:space="preserve"> </w:t>
            </w:r>
            <w:r w:rsidR="00A6183F" w:rsidRPr="00641095">
              <w:rPr>
                <w:sz w:val="22"/>
                <w:lang w:val="en-US"/>
              </w:rPr>
              <w:t xml:space="preserve">  </w:t>
            </w:r>
          </w:p>
          <w:p w:rsidR="00565C5F" w:rsidRPr="00641095" w:rsidRDefault="00565C5F" w:rsidP="004A6491">
            <w:pPr>
              <w:spacing w:after="0"/>
              <w:rPr>
                <w:sz w:val="22"/>
                <w:lang w:val="en-US"/>
              </w:rPr>
            </w:pPr>
          </w:p>
        </w:tc>
      </w:tr>
    </w:tbl>
    <w:p w:rsidR="00ED0DC8" w:rsidRDefault="00ED0DC8" w:rsidP="00A6183F">
      <w:pPr>
        <w:ind w:firstLine="0"/>
        <w:rPr>
          <w:rFonts w:ascii="Arial" w:hAnsi="Arial" w:cs="Arial"/>
          <w:szCs w:val="24"/>
        </w:rPr>
      </w:pPr>
    </w:p>
    <w:p w:rsidR="00ED0DC8" w:rsidRDefault="00ED0DC8" w:rsidP="00A6183F">
      <w:pPr>
        <w:ind w:firstLine="0"/>
      </w:pPr>
    </w:p>
    <w:p w:rsidR="00855515" w:rsidRDefault="00855515" w:rsidP="00855515">
      <w:pPr>
        <w:pStyle w:val="Nagwek2"/>
        <w:numPr>
          <w:ilvl w:val="1"/>
          <w:numId w:val="2"/>
        </w:numPr>
      </w:pPr>
      <w:bookmarkStart w:id="5" w:name="_Toc62214589"/>
      <w:r>
        <w:t>Zakup urządzeń komputerowych, a zakup licencji na oprogramowanie użytkowane na nabywanych urządzeniach</w:t>
      </w:r>
      <w:bookmarkEnd w:id="5"/>
    </w:p>
    <w:p w:rsidR="00D9791E" w:rsidRDefault="00D9791E" w:rsidP="00D9791E">
      <w:r>
        <w:t>Zakup urządzeń komputerowych może, ale nie musi być realizowany łącznie z zakupem licencji na oprogramowanie użytkowane na nabywanych komputerach. Decyzja w tym zakresie zależy od konkretnej sytuacji zamawiającego w zakresie posiadanych przez niego licencji i winna mieć charakter ekonomiczny.</w:t>
      </w:r>
    </w:p>
    <w:p w:rsidR="00D9791E" w:rsidRDefault="00D9791E" w:rsidP="00D9791E">
      <w:r>
        <w:t xml:space="preserve">W pewnych sytuacjach zakup licencji na system operacyjny i oprogramowanie podstawowe (edytor tekstu, arkusz kalkulacyjny, program do tworzenia prezentacji, klient poczty elektronicznej) wraz z nabywanym urządzeniem komputerowym może być uzasadniony </w:t>
      </w:r>
      <w:r>
        <w:lastRenderedPageBreak/>
        <w:t xml:space="preserve">ekonomicznie (w wielu przypadkach licencje takie są tańsze niż licencje kupowane </w:t>
      </w:r>
      <w:r w:rsidR="00A6183F">
        <w:t>oddzielnie</w:t>
      </w:r>
      <w:r>
        <w:t>). Natomiast w wielu innych sytuacjach (np. zamawiający dysponuje już niezbędnymi licencjami, dysponuje licencją obejmującą całą organizację, posiada możliwość tańszego zakupu licencji w ramach zawartych wcześniej umów z licencjodawcą), korzystniejszy może być oddzielny zakup licencji.</w:t>
      </w:r>
    </w:p>
    <w:p w:rsidR="00855515" w:rsidRDefault="00D9791E" w:rsidP="00D9791E">
      <w:r>
        <w:t xml:space="preserve">W specyficznych przypadkach wyłączności danego podmiotu na sprzedaż licencji na dane oprogramowanie, połączenie zamówienia na dostawę licencji na oprogramowanie z zamówieniem na dostawę urządzeń komputerowych może prowadzić do dyskryminującego zbiegu wymagań ograniczającego konkurencję </w:t>
      </w:r>
      <w:r w:rsidR="00A6183F">
        <w:t xml:space="preserve">i nie można wykluczyć, że w konkretnych stanach faktycznych stanowić może, </w:t>
      </w:r>
      <w:r>
        <w:t xml:space="preserve"> </w:t>
      </w:r>
      <w:r w:rsidRPr="00D9791E">
        <w:t>w świetle zasady nieograniczania uczciwej konkurencji</w:t>
      </w:r>
      <w:r w:rsidR="00A6183F">
        <w:t>,</w:t>
      </w:r>
      <w:r w:rsidRPr="00D9791E">
        <w:t xml:space="preserve"> zabieg niedopuszczalny. </w:t>
      </w:r>
      <w:r w:rsidR="00A6183F">
        <w:t>W takim wypadku, t</w:t>
      </w:r>
      <w:r w:rsidRPr="00D9791E">
        <w:t>ak sformułowany opis przedmiotu zamówienia w tej części</w:t>
      </w:r>
      <w:r w:rsidR="00A6183F">
        <w:t xml:space="preserve"> może zostać uznany</w:t>
      </w:r>
      <w:r w:rsidRPr="00D9791E">
        <w:t xml:space="preserve"> za niedopuszczalny. Kwestia ta powinna podlegać szczególnej uwadze i nadzorowi ze strony zamawiającego.</w:t>
      </w:r>
    </w:p>
    <w:p w:rsidR="00D9791E" w:rsidRDefault="00D9791E" w:rsidP="00D9791E"/>
    <w:p w:rsidR="00D9791E" w:rsidRDefault="00D9791E" w:rsidP="00D9791E">
      <w:pPr>
        <w:pStyle w:val="Nagwek2"/>
        <w:numPr>
          <w:ilvl w:val="1"/>
          <w:numId w:val="2"/>
        </w:numPr>
      </w:pPr>
      <w:bookmarkStart w:id="6" w:name="_Toc62214590"/>
      <w:r>
        <w:t>Zapisy niedopuszczalne</w:t>
      </w:r>
      <w:bookmarkEnd w:id="6"/>
    </w:p>
    <w:p w:rsidR="00D9791E" w:rsidRDefault="00D9791E" w:rsidP="00D9791E">
      <w:r>
        <w:t>W opisie przedmiotu zamówienia powinno się unikać specyfikowania urządzeń komputerowych przez wskazywanie szczegółowych parametrów komponentów wykorzystywanych do ich budowy, gdyż podobne właściwości użytkowe mogą być zapewnione przez wiele różnych konstrukcyjnie urządzeń.</w:t>
      </w:r>
    </w:p>
    <w:p w:rsidR="00D9791E" w:rsidRDefault="00D9791E" w:rsidP="00D9791E">
      <w:r>
        <w:t>W szczególności w przypadku komponentów złożonych, takich, jak procesory, karty graficzne, płyty główne, powinno się unikać wskazywania szczegółowych parametrów charakteryzujących wewnętrzne rozwiązania techniczne stosowane w takich podzespołach. Zapisy takie mają bowiem moc potencjalnie dyskryminującą niektórych producentów sprzętu komputerowego. W Tabeli nr 3, przedstawione zostały zapisy niedopuszczalne z punktu widzenia dbałości o zachowanie konkurencji między wytwórcami sprzętu komputerowego.</w:t>
      </w:r>
    </w:p>
    <w:p w:rsidR="00D9791E" w:rsidRDefault="00D9791E" w:rsidP="00D9791E">
      <w:r w:rsidRPr="00D9791E">
        <w:rPr>
          <w:b/>
        </w:rPr>
        <w:t xml:space="preserve">Tabela </w:t>
      </w:r>
      <w:r w:rsidR="00450C4B">
        <w:rPr>
          <w:b/>
        </w:rPr>
        <w:t>4</w:t>
      </w:r>
      <w:r>
        <w:t>. Zapisy niedopuszczalne w opisie przedmiotu zamówienia na dostawę urządzeń komputerowych (niedopuszczalny jest każdy ze wskazanych niżej zapisów)</w:t>
      </w:r>
    </w:p>
    <w:tbl>
      <w:tblPr>
        <w:tblStyle w:val="Tabela-Siatka"/>
        <w:tblW w:w="0" w:type="auto"/>
        <w:tblLook w:val="04A0" w:firstRow="1" w:lastRow="0" w:firstColumn="1" w:lastColumn="0" w:noHBand="0" w:noVBand="1"/>
      </w:tblPr>
      <w:tblGrid>
        <w:gridCol w:w="3114"/>
        <w:gridCol w:w="5948"/>
      </w:tblGrid>
      <w:tr w:rsidR="00D9791E" w:rsidTr="00D9791E">
        <w:tc>
          <w:tcPr>
            <w:tcW w:w="3114" w:type="dxa"/>
          </w:tcPr>
          <w:p w:rsidR="00D9791E" w:rsidRPr="00641095" w:rsidRDefault="00D9791E" w:rsidP="00D9791E">
            <w:pPr>
              <w:ind w:firstLine="0"/>
              <w:jc w:val="center"/>
              <w:rPr>
                <w:b/>
                <w:i/>
              </w:rPr>
            </w:pPr>
            <w:r w:rsidRPr="00641095">
              <w:rPr>
                <w:b/>
                <w:i/>
              </w:rPr>
              <w:t>Parametr techniczny</w:t>
            </w:r>
          </w:p>
        </w:tc>
        <w:tc>
          <w:tcPr>
            <w:tcW w:w="5948" w:type="dxa"/>
          </w:tcPr>
          <w:p w:rsidR="00D9791E" w:rsidRPr="00641095" w:rsidRDefault="00D9791E" w:rsidP="00D9791E">
            <w:pPr>
              <w:ind w:firstLine="0"/>
              <w:jc w:val="center"/>
              <w:rPr>
                <w:b/>
                <w:i/>
              </w:rPr>
            </w:pPr>
            <w:r w:rsidRPr="00641095">
              <w:rPr>
                <w:b/>
                <w:i/>
              </w:rPr>
              <w:t>Treść zapisu niedopuszczalnego</w:t>
            </w:r>
          </w:p>
        </w:tc>
      </w:tr>
      <w:tr w:rsidR="00D9791E" w:rsidTr="00D9791E">
        <w:tc>
          <w:tcPr>
            <w:tcW w:w="3114" w:type="dxa"/>
          </w:tcPr>
          <w:p w:rsidR="00D9791E" w:rsidRPr="00641095" w:rsidRDefault="00D9791E" w:rsidP="00D9791E">
            <w:pPr>
              <w:ind w:firstLine="0"/>
              <w:rPr>
                <w:b/>
              </w:rPr>
            </w:pPr>
            <w:r w:rsidRPr="00641095">
              <w:rPr>
                <w:b/>
              </w:rPr>
              <w:t>Zapisy dotyczące urządzenia jako całości</w:t>
            </w:r>
          </w:p>
        </w:tc>
        <w:tc>
          <w:tcPr>
            <w:tcW w:w="5948" w:type="dxa"/>
          </w:tcPr>
          <w:p w:rsidR="00D9791E" w:rsidRDefault="00D9791E" w:rsidP="00D9791E">
            <w:pPr>
              <w:ind w:firstLine="0"/>
            </w:pPr>
            <w:r>
              <w:t>1. Wskazywanie konkretnego produc</w:t>
            </w:r>
            <w:r w:rsidR="004A6A61">
              <w:t>enta lub producentów urządzenia.</w:t>
            </w:r>
          </w:p>
          <w:p w:rsidR="00D9791E" w:rsidRDefault="00D9791E" w:rsidP="00D9791E">
            <w:pPr>
              <w:ind w:firstLine="0"/>
            </w:pPr>
            <w:r>
              <w:lastRenderedPageBreak/>
              <w:t xml:space="preserve">2. Wymaganie,  aby  wszystkie  lub  część  komponentów urządzenia (np. płyta główna, monitor, klawiatura, mysz, urządzenia  peryferyjne)  pochodziły  od  tego  samego producenta i były sygnowane logiem   producenta komputera. Nie wyklucza to wymagania </w:t>
            </w:r>
            <w:r w:rsidR="004A6A61">
              <w:t xml:space="preserve">jednolitej wersji komponentów </w:t>
            </w:r>
            <w:r>
              <w:t>dla całej pul</w:t>
            </w:r>
            <w:r w:rsidR="004A6A61">
              <w:t>i urządzeń objętych zamówieniem.</w:t>
            </w:r>
          </w:p>
        </w:tc>
      </w:tr>
      <w:tr w:rsidR="00D9791E" w:rsidTr="00D9791E">
        <w:tc>
          <w:tcPr>
            <w:tcW w:w="3114" w:type="dxa"/>
          </w:tcPr>
          <w:p w:rsidR="00D9791E" w:rsidRPr="00641095" w:rsidRDefault="00D9791E" w:rsidP="00D9791E">
            <w:pPr>
              <w:ind w:firstLine="0"/>
              <w:rPr>
                <w:b/>
              </w:rPr>
            </w:pPr>
            <w:r w:rsidRPr="00641095">
              <w:rPr>
                <w:b/>
              </w:rPr>
              <w:lastRenderedPageBreak/>
              <w:t>Model zainstalowanego procesora (ów)</w:t>
            </w:r>
          </w:p>
        </w:tc>
        <w:tc>
          <w:tcPr>
            <w:tcW w:w="5948" w:type="dxa"/>
          </w:tcPr>
          <w:p w:rsidR="00D9791E" w:rsidRDefault="00D9791E" w:rsidP="00D9791E">
            <w:pPr>
              <w:ind w:firstLine="0"/>
            </w:pPr>
            <w:r>
              <w:t>1. Konkretny  producent/nazwa  modelu z dopiskiem „lub równoważny”</w:t>
            </w:r>
            <w:r w:rsidR="0074373F">
              <w:t>.</w:t>
            </w:r>
          </w:p>
          <w:p w:rsidR="00D9791E" w:rsidRDefault="00D9791E" w:rsidP="00D9791E">
            <w:pPr>
              <w:ind w:firstLine="0"/>
            </w:pPr>
            <w:r>
              <w:t xml:space="preserve">2. </w:t>
            </w:r>
            <w:r w:rsidR="00CE24DD">
              <w:t>Konkretna l</w:t>
            </w:r>
            <w:r>
              <w:t>iczb</w:t>
            </w:r>
            <w:r w:rsidR="007D533A">
              <w:t>a</w:t>
            </w:r>
            <w:r>
              <w:t xml:space="preserve"> rdzeni</w:t>
            </w:r>
            <w:r w:rsidR="0074373F">
              <w:t>.</w:t>
            </w:r>
          </w:p>
          <w:p w:rsidR="00D9791E" w:rsidRDefault="00D9791E" w:rsidP="00D9791E">
            <w:pPr>
              <w:ind w:firstLine="0"/>
            </w:pPr>
            <w:r>
              <w:t>3.</w:t>
            </w:r>
            <w:r w:rsidR="00CE24DD">
              <w:t>Konkretna</w:t>
            </w:r>
            <w:r>
              <w:t xml:space="preserve"> </w:t>
            </w:r>
            <w:r w:rsidR="00CE24DD">
              <w:t>c</w:t>
            </w:r>
            <w:r>
              <w:t>zęstotliwość zegara</w:t>
            </w:r>
            <w:r w:rsidR="0074373F">
              <w:t>.</w:t>
            </w:r>
          </w:p>
          <w:p w:rsidR="00D9791E" w:rsidRDefault="00D9791E" w:rsidP="00D9791E">
            <w:pPr>
              <w:ind w:firstLine="0"/>
            </w:pPr>
            <w:r>
              <w:t>4. Wszystkie parametry charakteryzujące   wewnętrzną architekturę procesora – np.:</w:t>
            </w:r>
          </w:p>
          <w:p w:rsidR="00D9791E" w:rsidRDefault="00D9791E" w:rsidP="00D9791E">
            <w:pPr>
              <w:ind w:left="883" w:hanging="282"/>
              <w:jc w:val="left"/>
            </w:pPr>
            <w:r>
              <w:t xml:space="preserve">a. </w:t>
            </w:r>
            <w:r w:rsidR="00CE24DD">
              <w:t>Konkretna w</w:t>
            </w:r>
            <w:r>
              <w:t>ielkość pamięci podręcznych (różnych poziomów)</w:t>
            </w:r>
          </w:p>
          <w:p w:rsidR="00D9791E" w:rsidRDefault="00D9791E" w:rsidP="00D9791E">
            <w:pPr>
              <w:ind w:firstLine="601"/>
              <w:jc w:val="left"/>
            </w:pPr>
            <w:r>
              <w:t xml:space="preserve">b. </w:t>
            </w:r>
            <w:r w:rsidR="00CE24DD">
              <w:t>Konkretny r</w:t>
            </w:r>
            <w:r>
              <w:t>odzaj/częstotliwość magistrali procesora</w:t>
            </w:r>
          </w:p>
          <w:p w:rsidR="00D9791E" w:rsidRDefault="00D9791E" w:rsidP="00D9791E">
            <w:pPr>
              <w:ind w:firstLine="601"/>
              <w:jc w:val="left"/>
            </w:pPr>
            <w:r>
              <w:t xml:space="preserve">c. </w:t>
            </w:r>
            <w:r w:rsidR="00CE24DD">
              <w:t>Konkretny m</w:t>
            </w:r>
            <w:r>
              <w:t>nożnik częstotliwości podstawowej</w:t>
            </w:r>
            <w:r w:rsidR="007D533A">
              <w:t>.</w:t>
            </w:r>
            <w:r>
              <w:tab/>
            </w:r>
          </w:p>
        </w:tc>
      </w:tr>
      <w:tr w:rsidR="00D9791E" w:rsidTr="00D9791E">
        <w:tc>
          <w:tcPr>
            <w:tcW w:w="3114" w:type="dxa"/>
          </w:tcPr>
          <w:p w:rsidR="00D9791E" w:rsidRPr="00641095" w:rsidRDefault="00D9791E" w:rsidP="00D9791E">
            <w:pPr>
              <w:ind w:firstLine="0"/>
              <w:rPr>
                <w:b/>
              </w:rPr>
            </w:pPr>
            <w:r w:rsidRPr="00641095">
              <w:rPr>
                <w:b/>
              </w:rPr>
              <w:t>Płyta główna</w:t>
            </w:r>
          </w:p>
        </w:tc>
        <w:tc>
          <w:tcPr>
            <w:tcW w:w="5948" w:type="dxa"/>
          </w:tcPr>
          <w:p w:rsidR="00D9791E" w:rsidRDefault="00D9791E" w:rsidP="00D9791E">
            <w:pPr>
              <w:ind w:firstLine="0"/>
            </w:pPr>
            <w:r>
              <w:t>1. Producent, model</w:t>
            </w:r>
            <w:r w:rsidR="0074373F">
              <w:t>.</w:t>
            </w:r>
          </w:p>
          <w:p w:rsidR="00D9791E" w:rsidRDefault="00D9791E" w:rsidP="00D9791E">
            <w:pPr>
              <w:ind w:firstLine="0"/>
            </w:pPr>
            <w:r>
              <w:t xml:space="preserve">2. Producent i model tzw. </w:t>
            </w:r>
            <w:proofErr w:type="spellStart"/>
            <w:r>
              <w:t>chipset’u</w:t>
            </w:r>
            <w:proofErr w:type="spellEnd"/>
            <w:r w:rsidR="0074373F">
              <w:t>.</w:t>
            </w:r>
          </w:p>
          <w:p w:rsidR="00D9791E" w:rsidRDefault="00D9791E" w:rsidP="00D9791E">
            <w:pPr>
              <w:ind w:firstLine="0"/>
            </w:pPr>
            <w:r>
              <w:t>3. Rodzaj i częstotliwość szyny systemowej</w:t>
            </w:r>
            <w:r w:rsidR="0074373F">
              <w:t>.</w:t>
            </w:r>
          </w:p>
          <w:p w:rsidR="00D9791E" w:rsidRDefault="00D9791E" w:rsidP="00D9791E">
            <w:pPr>
              <w:ind w:firstLine="0"/>
            </w:pPr>
            <w:r>
              <w:t>4. Typy obsługiwanych pamięci (np. DDR, RDRAM, etc.)</w:t>
            </w:r>
            <w:r w:rsidR="0074373F">
              <w:t>.</w:t>
            </w:r>
          </w:p>
          <w:p w:rsidR="00D9791E" w:rsidRDefault="00D9791E" w:rsidP="00D9791E">
            <w:pPr>
              <w:ind w:firstLine="0"/>
            </w:pPr>
            <w:r>
              <w:t>5. Model i producent układów kart zintegrowanych (specyfikacja tylko przez realizowane technologie, np. AC’97, HD Audio, DTS, )</w:t>
            </w:r>
            <w:r w:rsidR="009811CA">
              <w:t>.</w:t>
            </w:r>
          </w:p>
        </w:tc>
      </w:tr>
      <w:tr w:rsidR="00D9791E" w:rsidTr="00D9791E">
        <w:tc>
          <w:tcPr>
            <w:tcW w:w="3114" w:type="dxa"/>
          </w:tcPr>
          <w:p w:rsidR="00D9791E" w:rsidRPr="00641095" w:rsidRDefault="00D9791E" w:rsidP="00D9791E">
            <w:pPr>
              <w:ind w:firstLine="0"/>
              <w:rPr>
                <w:b/>
              </w:rPr>
            </w:pPr>
            <w:r w:rsidRPr="00641095">
              <w:rPr>
                <w:b/>
              </w:rPr>
              <w:t>BIOS</w:t>
            </w:r>
          </w:p>
        </w:tc>
        <w:tc>
          <w:tcPr>
            <w:tcW w:w="5948" w:type="dxa"/>
          </w:tcPr>
          <w:p w:rsidR="00D9791E" w:rsidRDefault="00D9791E" w:rsidP="00D9791E">
            <w:pPr>
              <w:ind w:firstLine="0"/>
            </w:pPr>
            <w:r w:rsidRPr="00D9791E">
              <w:t>Zapisów niedopuszczalnych nie wskazano.</w:t>
            </w:r>
          </w:p>
        </w:tc>
      </w:tr>
      <w:tr w:rsidR="00D9791E" w:rsidTr="00D9791E">
        <w:tc>
          <w:tcPr>
            <w:tcW w:w="3114" w:type="dxa"/>
          </w:tcPr>
          <w:p w:rsidR="00D9791E" w:rsidRPr="00641095" w:rsidRDefault="00D9791E" w:rsidP="00D9791E">
            <w:pPr>
              <w:ind w:firstLine="0"/>
              <w:rPr>
                <w:b/>
              </w:rPr>
            </w:pPr>
            <w:r w:rsidRPr="00641095">
              <w:rPr>
                <w:b/>
              </w:rPr>
              <w:t>Karta Graficzna</w:t>
            </w:r>
          </w:p>
        </w:tc>
        <w:tc>
          <w:tcPr>
            <w:tcW w:w="5948" w:type="dxa"/>
          </w:tcPr>
          <w:p w:rsidR="00D9791E" w:rsidRDefault="00D9791E" w:rsidP="00D9791E">
            <w:pPr>
              <w:ind w:firstLine="0"/>
            </w:pPr>
            <w:r>
              <w:t xml:space="preserve">1. </w:t>
            </w:r>
            <w:r w:rsidR="00CE24DD">
              <w:t>Konkretne p</w:t>
            </w:r>
            <w:r>
              <w:t>arametry dotyczące taktowania rdzenia karty graficznej</w:t>
            </w:r>
            <w:r w:rsidR="004A6A61">
              <w:t>.</w:t>
            </w:r>
          </w:p>
          <w:p w:rsidR="00D9791E" w:rsidRDefault="00D9791E" w:rsidP="00D9791E">
            <w:pPr>
              <w:ind w:firstLine="0"/>
            </w:pPr>
            <w:r>
              <w:t xml:space="preserve">2. </w:t>
            </w:r>
            <w:r w:rsidR="00CE24DD">
              <w:t>Konkretna p</w:t>
            </w:r>
            <w:r>
              <w:t>rzepustowość pamięci karty graficznej</w:t>
            </w:r>
            <w:r w:rsidR="004A6A61">
              <w:t>.</w:t>
            </w:r>
          </w:p>
          <w:p w:rsidR="00D9791E" w:rsidRDefault="00D9791E" w:rsidP="00D9791E">
            <w:pPr>
              <w:ind w:firstLine="0"/>
            </w:pPr>
            <w:r>
              <w:lastRenderedPageBreak/>
              <w:t xml:space="preserve">3. </w:t>
            </w:r>
            <w:r w:rsidR="00CE24DD">
              <w:t>Konkretna s</w:t>
            </w:r>
            <w:r>
              <w:t>zerokość szyny danych (w bitach)</w:t>
            </w:r>
            <w:r w:rsidR="004A6A61">
              <w:t>.</w:t>
            </w:r>
            <w:r>
              <w:tab/>
            </w:r>
          </w:p>
        </w:tc>
      </w:tr>
      <w:tr w:rsidR="00D9791E" w:rsidTr="00D9791E">
        <w:tc>
          <w:tcPr>
            <w:tcW w:w="3114" w:type="dxa"/>
          </w:tcPr>
          <w:p w:rsidR="00D9791E" w:rsidRPr="00641095" w:rsidRDefault="00D9791E" w:rsidP="00D9791E">
            <w:pPr>
              <w:ind w:firstLine="0"/>
              <w:rPr>
                <w:b/>
              </w:rPr>
            </w:pPr>
            <w:r w:rsidRPr="00641095">
              <w:rPr>
                <w:b/>
              </w:rPr>
              <w:lastRenderedPageBreak/>
              <w:t>Pamięć operacyjna</w:t>
            </w:r>
          </w:p>
        </w:tc>
        <w:tc>
          <w:tcPr>
            <w:tcW w:w="5948" w:type="dxa"/>
          </w:tcPr>
          <w:p w:rsidR="00D9791E" w:rsidRDefault="00D9791E" w:rsidP="00D9791E">
            <w:pPr>
              <w:ind w:firstLine="0"/>
            </w:pPr>
            <w:r>
              <w:t xml:space="preserve">1. </w:t>
            </w:r>
            <w:r w:rsidR="00CE24DD">
              <w:t>Konkretne t</w:t>
            </w:r>
            <w:r>
              <w:t>ypy obsługiwanych pamięci (np. DDR, DDR2, SDRAM)</w:t>
            </w:r>
            <w:r w:rsidR="00A906A8">
              <w:t>.</w:t>
            </w:r>
          </w:p>
          <w:p w:rsidR="00D9791E" w:rsidRDefault="00D9791E" w:rsidP="00D9791E">
            <w:pPr>
              <w:ind w:firstLine="0"/>
            </w:pPr>
            <w:r>
              <w:t xml:space="preserve">2. </w:t>
            </w:r>
            <w:r w:rsidR="00CE24DD">
              <w:t>Konkretna c</w:t>
            </w:r>
            <w:r>
              <w:t>zęstotliwość pracy</w:t>
            </w:r>
            <w:r w:rsidR="00A906A8">
              <w:t>.</w:t>
            </w:r>
            <w:r>
              <w:tab/>
            </w:r>
            <w:r>
              <w:tab/>
            </w:r>
            <w:r>
              <w:tab/>
            </w:r>
          </w:p>
          <w:p w:rsidR="00D9791E" w:rsidRDefault="00D9791E" w:rsidP="00D9791E">
            <w:pPr>
              <w:ind w:firstLine="0"/>
            </w:pPr>
            <w:r>
              <w:t xml:space="preserve">3. </w:t>
            </w:r>
            <w:r w:rsidR="00CE24DD">
              <w:t>Konkretna l</w:t>
            </w:r>
            <w:r>
              <w:t xml:space="preserve">iczba cykli opóźnienia (ang. </w:t>
            </w:r>
            <w:proofErr w:type="spellStart"/>
            <w:r>
              <w:t>cycle</w:t>
            </w:r>
            <w:proofErr w:type="spellEnd"/>
            <w:r>
              <w:t xml:space="preserve"> </w:t>
            </w:r>
            <w:proofErr w:type="spellStart"/>
            <w:r>
              <w:t>latency</w:t>
            </w:r>
            <w:proofErr w:type="spellEnd"/>
            <w:r>
              <w:t>) i inne parametry charakteryzujące działanie układów pamięci</w:t>
            </w:r>
            <w:r w:rsidR="00A906A8">
              <w:t>.</w:t>
            </w:r>
          </w:p>
        </w:tc>
      </w:tr>
      <w:tr w:rsidR="00D9791E" w:rsidTr="00D9791E">
        <w:tc>
          <w:tcPr>
            <w:tcW w:w="3114" w:type="dxa"/>
          </w:tcPr>
          <w:p w:rsidR="00D9791E" w:rsidRPr="00641095" w:rsidRDefault="00A92B6E" w:rsidP="00D9791E">
            <w:pPr>
              <w:ind w:firstLine="0"/>
              <w:rPr>
                <w:b/>
              </w:rPr>
            </w:pPr>
            <w:r w:rsidRPr="00641095">
              <w:rPr>
                <w:b/>
              </w:rPr>
              <w:t>Pamięć masowa (dysk twardy lub dysk SSD)</w:t>
            </w:r>
          </w:p>
        </w:tc>
        <w:tc>
          <w:tcPr>
            <w:tcW w:w="5948" w:type="dxa"/>
          </w:tcPr>
          <w:p w:rsidR="00A92B6E" w:rsidRDefault="00A92B6E" w:rsidP="00A92B6E">
            <w:pPr>
              <w:ind w:firstLine="0"/>
            </w:pPr>
            <w:r>
              <w:t>1. W przypadku dysków twardych</w:t>
            </w:r>
            <w:r w:rsidR="00C4438E">
              <w:t xml:space="preserve"> konkretna</w:t>
            </w:r>
            <w:r w:rsidR="00421370">
              <w:t>:</w:t>
            </w:r>
            <w:r>
              <w:tab/>
            </w:r>
          </w:p>
          <w:p w:rsidR="00A92B6E" w:rsidRDefault="00421370" w:rsidP="00A92B6E">
            <w:pPr>
              <w:ind w:left="458" w:firstLine="0"/>
            </w:pPr>
            <w:r>
              <w:t>a. p</w:t>
            </w:r>
            <w:r w:rsidR="00A92B6E">
              <w:t>amięć podręczna</w:t>
            </w:r>
            <w:r>
              <w:t>,</w:t>
            </w:r>
            <w:r w:rsidR="00A92B6E">
              <w:tab/>
            </w:r>
            <w:r w:rsidR="00A92B6E">
              <w:tab/>
            </w:r>
          </w:p>
          <w:p w:rsidR="00A92B6E" w:rsidRDefault="00421370" w:rsidP="00A92B6E">
            <w:pPr>
              <w:ind w:left="458" w:firstLine="0"/>
            </w:pPr>
            <w:r>
              <w:t>b. p</w:t>
            </w:r>
            <w:r w:rsidR="00A92B6E">
              <w:t>rędkość obrotowa</w:t>
            </w:r>
            <w:r>
              <w:t>.</w:t>
            </w:r>
            <w:r w:rsidR="00A92B6E">
              <w:tab/>
            </w:r>
            <w:r w:rsidR="00A92B6E">
              <w:tab/>
            </w:r>
          </w:p>
          <w:p w:rsidR="00A92B6E" w:rsidRDefault="00A92B6E" w:rsidP="00A92B6E">
            <w:pPr>
              <w:ind w:firstLine="0"/>
            </w:pPr>
            <w:r>
              <w:t>2. W przypadku dysków SSD – wskazywanie technologii /</w:t>
            </w:r>
          </w:p>
          <w:p w:rsidR="00D9791E" w:rsidRDefault="00A92B6E" w:rsidP="00A92B6E">
            <w:pPr>
              <w:ind w:firstLine="0"/>
            </w:pPr>
            <w:r>
              <w:t xml:space="preserve"> rozwiązań właściwych tylko dla jednego producenta</w:t>
            </w:r>
            <w:r w:rsidR="005613EC">
              <w:t>.</w:t>
            </w:r>
          </w:p>
        </w:tc>
      </w:tr>
      <w:tr w:rsidR="00D9791E" w:rsidTr="00D9791E">
        <w:tc>
          <w:tcPr>
            <w:tcW w:w="3114" w:type="dxa"/>
          </w:tcPr>
          <w:p w:rsidR="00D9791E" w:rsidRPr="00641095" w:rsidRDefault="00A92B6E" w:rsidP="00D9791E">
            <w:pPr>
              <w:ind w:firstLine="0"/>
              <w:rPr>
                <w:b/>
              </w:rPr>
            </w:pPr>
            <w:r w:rsidRPr="00641095">
              <w:rPr>
                <w:b/>
              </w:rPr>
              <w:t>Napęd optyczny</w:t>
            </w:r>
          </w:p>
        </w:tc>
        <w:tc>
          <w:tcPr>
            <w:tcW w:w="5948" w:type="dxa"/>
          </w:tcPr>
          <w:p w:rsidR="00D9791E" w:rsidRDefault="00A92B6E" w:rsidP="00D9791E">
            <w:pPr>
              <w:ind w:firstLine="0"/>
            </w:pPr>
            <w:r w:rsidRPr="00D9791E">
              <w:t>Zapisów niedopuszczalnych nie wskazano.</w:t>
            </w:r>
          </w:p>
        </w:tc>
      </w:tr>
      <w:tr w:rsidR="00D9791E" w:rsidTr="00D9791E">
        <w:tc>
          <w:tcPr>
            <w:tcW w:w="3114" w:type="dxa"/>
          </w:tcPr>
          <w:p w:rsidR="00D9791E" w:rsidRPr="00641095" w:rsidRDefault="00A92B6E" w:rsidP="00D9791E">
            <w:pPr>
              <w:ind w:firstLine="0"/>
              <w:rPr>
                <w:b/>
              </w:rPr>
            </w:pPr>
            <w:r w:rsidRPr="00641095">
              <w:rPr>
                <w:b/>
              </w:rPr>
              <w:t>Obudowa</w:t>
            </w:r>
          </w:p>
        </w:tc>
        <w:tc>
          <w:tcPr>
            <w:tcW w:w="5948" w:type="dxa"/>
          </w:tcPr>
          <w:p w:rsidR="00A92B6E" w:rsidRDefault="00A92B6E" w:rsidP="00A92B6E">
            <w:pPr>
              <w:ind w:firstLine="0"/>
            </w:pPr>
            <w:r>
              <w:t>1. Konkretne wymiary obudowy, tj. podane z dokładnością do pojedynczego centymetra lub większą (np. 340 x 380 x 100 mm /dokładnie/, ale dopuszczalne może być potraktowanie</w:t>
            </w:r>
            <w:r>
              <w:tab/>
              <w:t>tych wymiarów jako maksymalnych, w granicach niewykluczających konkurencji).</w:t>
            </w:r>
          </w:p>
          <w:p w:rsidR="00A92B6E" w:rsidRDefault="00A92B6E" w:rsidP="00A92B6E">
            <w:pPr>
              <w:ind w:firstLine="0"/>
            </w:pPr>
            <w:r>
              <w:t>2. Wymaganie rodzaju obudowy wspieranego przez ograniczoną liczbę producentów (np. obudowa typu BTX)</w:t>
            </w:r>
            <w:r w:rsidR="005613EC">
              <w:t>.</w:t>
            </w:r>
          </w:p>
          <w:p w:rsidR="00A92B6E" w:rsidRDefault="00A92B6E" w:rsidP="00A92B6E">
            <w:pPr>
              <w:ind w:firstLine="0"/>
            </w:pPr>
            <w:r>
              <w:t>3. Wymaganie umiejscowienia gniazd i złączy w konkretnych miejscach obudowy w przypadku komputerów przenośnych</w:t>
            </w:r>
            <w:r w:rsidR="005613EC">
              <w:t>.</w:t>
            </w:r>
          </w:p>
        </w:tc>
      </w:tr>
      <w:tr w:rsidR="00D9791E" w:rsidTr="00D9791E">
        <w:tc>
          <w:tcPr>
            <w:tcW w:w="3114" w:type="dxa"/>
          </w:tcPr>
          <w:p w:rsidR="00D9791E" w:rsidRPr="00641095" w:rsidRDefault="00A92B6E" w:rsidP="00D9791E">
            <w:pPr>
              <w:ind w:firstLine="0"/>
              <w:rPr>
                <w:b/>
              </w:rPr>
            </w:pPr>
            <w:r w:rsidRPr="00641095">
              <w:rPr>
                <w:b/>
              </w:rPr>
              <w:t>Monitor / wyświetlacz</w:t>
            </w:r>
          </w:p>
        </w:tc>
        <w:tc>
          <w:tcPr>
            <w:tcW w:w="5948" w:type="dxa"/>
          </w:tcPr>
          <w:p w:rsidR="00D9791E" w:rsidRDefault="00A92B6E" w:rsidP="00D9791E">
            <w:pPr>
              <w:ind w:firstLine="0"/>
            </w:pPr>
            <w:r>
              <w:t>Wymaganie, by monitor pochodził od tego samego producenta, co jednostka centralna</w:t>
            </w:r>
            <w:r w:rsidR="0069613F">
              <w:t>.</w:t>
            </w:r>
          </w:p>
        </w:tc>
      </w:tr>
    </w:tbl>
    <w:p w:rsidR="00D9791E" w:rsidRDefault="00D9791E" w:rsidP="00D9791E"/>
    <w:p w:rsidR="00A92B6E" w:rsidRDefault="00A92B6E" w:rsidP="00A92B6E">
      <w:pPr>
        <w:pStyle w:val="Nagwek2"/>
        <w:numPr>
          <w:ilvl w:val="1"/>
          <w:numId w:val="2"/>
        </w:numPr>
      </w:pPr>
      <w:bookmarkStart w:id="7" w:name="_Toc62214591"/>
      <w:r>
        <w:t>Dyskryminujący zbieg wymagań</w:t>
      </w:r>
      <w:bookmarkEnd w:id="7"/>
    </w:p>
    <w:p w:rsidR="00A92B6E" w:rsidRDefault="00A92B6E" w:rsidP="00A92B6E">
      <w:r>
        <w:t xml:space="preserve">Z dyskryminującym zbiegiem wymagań mamy do czynienia wtedy, gdy opis przedmiotu zamówienia zawiera wymagania, z których każde z osobna nie prowadzi samoistnie </w:t>
      </w:r>
      <w:r>
        <w:lastRenderedPageBreak/>
        <w:t>do dyskryminacji jakiegokolwiek producenta, lecz ich koniunkcja (wymaganie łącznego spełnienia) sprawia, że tylko jedno dostępne na rynku urządzenie może je spełnić. Promowana w niniejszych rekomendacjach zasada specyfikowania właściwości użytkowych urządzenia komputerowego, a nie szczegółowych parametrów technicznych jego konstrukcji oraz przedstawiona lista zapisów niedopuszczalnych</w:t>
      </w:r>
      <w:r w:rsidR="00507875">
        <w:t>,</w:t>
      </w:r>
      <w:r>
        <w:t xml:space="preserve"> ogranicza ryzyko powstania dyskryminującego zbiegu wymagań.</w:t>
      </w:r>
    </w:p>
    <w:p w:rsidR="00A92B6E" w:rsidRDefault="00A92B6E" w:rsidP="00A92B6E"/>
    <w:p w:rsidR="00A92B6E" w:rsidRDefault="00A92B6E" w:rsidP="00A92B6E">
      <w:pPr>
        <w:pStyle w:val="Nagwek2"/>
        <w:numPr>
          <w:ilvl w:val="1"/>
          <w:numId w:val="2"/>
        </w:numPr>
      </w:pPr>
      <w:bookmarkStart w:id="8" w:name="_Toc62214592"/>
      <w:r>
        <w:t>Odstępstwa od rekomendacji</w:t>
      </w:r>
      <w:bookmarkEnd w:id="8"/>
    </w:p>
    <w:p w:rsidR="00A92B6E" w:rsidRDefault="00A92B6E" w:rsidP="00A92B6E">
      <w:r>
        <w:t>Odstępstwo od powyższych zaleceń uzasadnione jest w przypadkach zakupów dla szczególnych  zastosowań, w których określenie pewnych specyficznych parametrów technicznych może być konieczne z punktu widzenia przeznaczenia zamawianych urządzeń komputerowych i uzasadnionych w związku w tym potrzeb zamawiającego.  W dalszym ciągu podstawowe znaczenie powinna mieć w tym przypadku wydajność urządzenia komputerowego ust</w:t>
      </w:r>
      <w:r w:rsidR="00454D54">
        <w:t>alona na wyższym niż przeciętny</w:t>
      </w:r>
      <w:r>
        <w:t xml:space="preserve"> poziomie (benchmark) w stosunku to typowego przeznaczenia biurowego. Specyfikowanie parametrów technicznych urządzenia powinno mieć charakter wyjątkowy. </w:t>
      </w:r>
    </w:p>
    <w:p w:rsidR="00A92B6E" w:rsidRDefault="00A92B6E" w:rsidP="00A92B6E">
      <w:r>
        <w:t>Przykładowo, jeśli na zamawianym komputerze studenci mają uczyć się programowania współbieżnego, wówczas można uznać, że wymaganie konkretnej liczby procesorów, czy ich rdzeni można uznać za uzasadnione. Zwróćmy jednak uwagę, że taki zapis w kontekście zastosowania nabywanych urządzeń komputerowych jest zgodny z ogólną zasadą specyfikowania parametrów użytkowych, a nie parametrów konstrukcyjnych – w powyższym przypadku liczba procesorów i rdzeni jest istotnym parametrem użytkowym z punktu widzenia specyfiki obszaru zastosowań zamawianych urządzeń komputerowych.</w:t>
      </w:r>
    </w:p>
    <w:p w:rsidR="00A92B6E" w:rsidRDefault="00A92B6E" w:rsidP="00A92B6E">
      <w:pPr>
        <w:rPr>
          <w:u w:val="single"/>
        </w:rPr>
      </w:pPr>
      <w:r w:rsidRPr="00A92B6E">
        <w:rPr>
          <w:u w:val="single"/>
        </w:rPr>
        <w:t>Każde zawarte w opisie przedmiotu zamówienia wymaganie specyficznego parametru technicznego komponentów winno jednoznacznie wynikać ze specyfiki zastosowań, dla których  urządzenia komputerowe są nabywane. Liczba takich zapisów powinna być minimalizowana, przy jednoczesnym dążeniu do unikania określania przedmiotu zamówienia w sposób wskazujący na konkretnego producenta urządzenia lub jego komponentów.</w:t>
      </w:r>
    </w:p>
    <w:p w:rsidR="00A92B6E" w:rsidRDefault="00A92B6E" w:rsidP="00A92B6E">
      <w:r w:rsidRPr="00A92B6E">
        <w:t>Nie można uznać, że wystarczającą podstawą do odejścia od niniejszych rekomendacji jest planowane używanie na zamawianych komputerach specjalizowanego oprogramowania – np. oprogramowania klienckiego systemu ERP, czy oprogramowania dedykowanego dla danej instytucji.</w:t>
      </w:r>
    </w:p>
    <w:p w:rsidR="00A92B6E" w:rsidRDefault="00A92B6E" w:rsidP="00A92B6E">
      <w:pPr>
        <w:pStyle w:val="Nagwek1"/>
        <w:numPr>
          <w:ilvl w:val="0"/>
          <w:numId w:val="2"/>
        </w:numPr>
      </w:pPr>
      <w:bookmarkStart w:id="9" w:name="_Toc62214593"/>
      <w:r>
        <w:lastRenderedPageBreak/>
        <w:t xml:space="preserve">Uzasadnienie zasad konstruowania </w:t>
      </w:r>
      <w:r w:rsidR="00FF75F2">
        <w:t>SWZ</w:t>
      </w:r>
      <w:bookmarkEnd w:id="9"/>
    </w:p>
    <w:p w:rsidR="00A92B6E" w:rsidRDefault="00A92B6E" w:rsidP="00A92B6E">
      <w:r>
        <w:t>Punktem odniesienia w ocenie zapisów wchodzących w skład opisu przedmiotu zamówienia na dostawę urządzeń komputerowych pod kątem jego dopuszczalności i zasadności jest przewidywany sposób wykorzystania nabywanych urządzeń wyznaczający zbiór ich właściwości użytkowych</w:t>
      </w:r>
      <w:r w:rsidR="00E86DE2">
        <w:t>,</w:t>
      </w:r>
      <w:r>
        <w:t xml:space="preserve"> określających przydatność  urządzenia  komputerowego dla danego zastosowania. </w:t>
      </w:r>
    </w:p>
    <w:p w:rsidR="00A92B6E" w:rsidRDefault="00A92B6E" w:rsidP="00A92B6E">
      <w:r>
        <w:t>Z uwagi na istniejącą wśród zamawiających tendencję do budowy opisu przedmiotu zamówienia przez naśladowanie sposobu specyfikacji parametrów urządzeń komputerowych przez ich producentów</w:t>
      </w:r>
      <w:r w:rsidR="007450CE">
        <w:t>,</w:t>
      </w:r>
      <w:r>
        <w:t xml:space="preserve"> wskazano oddzielnie, jakie zapisy są dopuszczalne, a jakie nie</w:t>
      </w:r>
      <w:r w:rsidR="007450CE">
        <w:t>,</w:t>
      </w:r>
      <w:r>
        <w:t xml:space="preserve"> z punktu widzenia nie ograniczania konkurencji producentów urządzeń komputerowych i wchodzących w ich skład podzespołów.</w:t>
      </w:r>
    </w:p>
    <w:p w:rsidR="00A92B6E" w:rsidRPr="00DB5853" w:rsidRDefault="00A92B6E" w:rsidP="00A92B6E">
      <w:pPr>
        <w:rPr>
          <w:strike/>
        </w:rPr>
      </w:pPr>
    </w:p>
    <w:p w:rsidR="00A92B6E" w:rsidRDefault="00A92B6E" w:rsidP="00A92B6E">
      <w:pPr>
        <w:pStyle w:val="Nagwek2"/>
        <w:numPr>
          <w:ilvl w:val="1"/>
          <w:numId w:val="2"/>
        </w:numPr>
      </w:pPr>
      <w:bookmarkStart w:id="10" w:name="_Toc62214594"/>
      <w:r>
        <w:t>Wyjaśnienia do zapisów szczegółowych</w:t>
      </w:r>
      <w:bookmarkEnd w:id="10"/>
    </w:p>
    <w:p w:rsidR="00A92B6E" w:rsidRDefault="00A92B6E" w:rsidP="00A92B6E">
      <w:pPr>
        <w:pStyle w:val="Nagwek3"/>
        <w:numPr>
          <w:ilvl w:val="2"/>
          <w:numId w:val="2"/>
        </w:numPr>
      </w:pPr>
      <w:bookmarkStart w:id="11" w:name="_Toc62214595"/>
      <w:r>
        <w:t>Obszar zastosowań</w:t>
      </w:r>
      <w:bookmarkEnd w:id="11"/>
    </w:p>
    <w:p w:rsidR="00A92B6E" w:rsidRDefault="00A92B6E" w:rsidP="00A92B6E">
      <w:r w:rsidRPr="00A92B6E">
        <w:t>Wskazanie obszaru zastosowań zamawianego  urządzenia komputerowego może być przydatne przy rozstrzyganiu sporów związanych z postępowaniem o udzielenie za</w:t>
      </w:r>
      <w:r w:rsidR="0008424C">
        <w:t xml:space="preserve">mówienia publicznego. Pełni </w:t>
      </w:r>
      <w:r w:rsidRPr="00A92B6E">
        <w:t xml:space="preserve">ono </w:t>
      </w:r>
      <w:r w:rsidR="0008424C">
        <w:t xml:space="preserve">także </w:t>
      </w:r>
      <w:r w:rsidRPr="00A92B6E">
        <w:t>rolę uzasadniającą treść techniczną specyfikacji. Rekomendowane jest przy tym posługiwaniem się definicjami urządzeń przedstawionymi na wstępie niniejszego dokumentu.</w:t>
      </w:r>
    </w:p>
    <w:p w:rsidR="00A92B6E" w:rsidRDefault="00A92B6E" w:rsidP="00A92B6E">
      <w:pPr>
        <w:pStyle w:val="Nagwek3"/>
        <w:numPr>
          <w:ilvl w:val="2"/>
          <w:numId w:val="2"/>
        </w:numPr>
      </w:pPr>
      <w:bookmarkStart w:id="12" w:name="_Toc62214596"/>
      <w:r>
        <w:t>Procesor</w:t>
      </w:r>
      <w:bookmarkEnd w:id="12"/>
    </w:p>
    <w:p w:rsidR="00A92B6E" w:rsidRDefault="00A92B6E" w:rsidP="00A92B6E">
      <w:r w:rsidRPr="00A92B6E">
        <w:t>Procesor jest centralnym elementem urządzenia komputerowego</w:t>
      </w:r>
      <w:r w:rsidR="00FD4B6D">
        <w:t>,</w:t>
      </w:r>
      <w:r w:rsidRPr="00A92B6E">
        <w:t xml:space="preserve"> w dużej mierze decydującym o jego wydajności. Wydajność procesora zależy od wielu czynników – częstotliwości taktowania, wielkości pamięci podręcznej, wewnętrznej architektury procesora i innych.</w:t>
      </w:r>
    </w:p>
    <w:p w:rsidR="00A92B6E" w:rsidRDefault="00A92B6E" w:rsidP="00A92B6E">
      <w:r>
        <w:t xml:space="preserve">Producenci procesorów tworzą i implementują coraz to nowe techniki zwiększenia ich wydajności w różnych zastosowaniach. Szczegóły tych rozwiązań są często trzymane w tajemnicy i stanowią </w:t>
      </w:r>
      <w:r w:rsidR="00AF713D">
        <w:t xml:space="preserve">zasadniczo </w:t>
      </w:r>
      <w:r>
        <w:t xml:space="preserve">domenę tylko jednego producenta. </w:t>
      </w:r>
      <w:r w:rsidRPr="007A7FD2">
        <w:rPr>
          <w:u w:val="single"/>
        </w:rPr>
        <w:t>Z tego też powodu SWZ</w:t>
      </w:r>
      <w:r w:rsidR="00FF75F2">
        <w:rPr>
          <w:u w:val="single"/>
        </w:rPr>
        <w:t xml:space="preserve"> </w:t>
      </w:r>
      <w:r w:rsidRPr="007A7FD2">
        <w:rPr>
          <w:u w:val="single"/>
        </w:rPr>
        <w:t>nie powin</w:t>
      </w:r>
      <w:r w:rsidR="00AF713D">
        <w:rPr>
          <w:u w:val="single"/>
        </w:rPr>
        <w:t>na</w:t>
      </w:r>
      <w:r w:rsidRPr="007A7FD2">
        <w:rPr>
          <w:u w:val="single"/>
        </w:rPr>
        <w:t xml:space="preserve"> odwoływać się do nazw technologii zaimplementowanych w wewnętrznej strukturze procesora, jeśli nie jest to uzasadnione specyfiką potrzeb zamawiającego, gdyż zapisy takie mogą potencjalnie dyskryminować któregoś z producentów procesorów.</w:t>
      </w:r>
    </w:p>
    <w:p w:rsidR="00A92B6E" w:rsidRDefault="00A92B6E" w:rsidP="00A92B6E">
      <w:r>
        <w:lastRenderedPageBreak/>
        <w:t xml:space="preserve">Przykład: </w:t>
      </w:r>
      <w:r w:rsidRPr="007A7FD2">
        <w:rPr>
          <w:u w:val="single"/>
        </w:rPr>
        <w:t>wymaganie posiadania przez procesor rozszerzeń zestawu instrukcji wspierających wirtualizację: Intel-VT (nawet z dopiskiem „lub równoważny”) jest niewłaściwe.</w:t>
      </w:r>
      <w:r>
        <w:t xml:space="preserve"> Konkurent Intela – AMD posiada własny zestaw rozszerzeń wspomagających wirtualizację, który w inny sposób niż Intel-VT osiąga zamierzony rezultat. Również inni konkurenci firmy Intel mogą wprowadzić własne rozszerzenia wspomagające wirtualizację. </w:t>
      </w:r>
      <w:r w:rsidRPr="007A7FD2">
        <w:rPr>
          <w:u w:val="single"/>
        </w:rPr>
        <w:t>Zatem wskazywanie z nazwy technologii firmy Intel ogranicza konkurencję w tym sensie, że nakłada na dostawców obowiązek dowodzenia „równoważności” ich rozwiązań.</w:t>
      </w:r>
      <w:r>
        <w:t xml:space="preserve"> Poprawnym byłby zapis o sprzętowym wspomaganiu</w:t>
      </w:r>
      <w:r w:rsidR="00CC22F4">
        <w:t xml:space="preserve"> wirtualizacji przez procesor. D</w:t>
      </w:r>
      <w:r>
        <w:t>odatkowo można wymagać obsługi tych rozszerzeń przez docelowe oprogramowanie realizujące wirtualizację.</w:t>
      </w:r>
    </w:p>
    <w:p w:rsidR="007A7FD2" w:rsidRDefault="00A92B6E" w:rsidP="007A7FD2">
      <w:r>
        <w:t>Praktyka pokazuje, że specyfikowanie szczegółowych parametrów konstrukcji urządzenia</w:t>
      </w:r>
      <w:r w:rsidR="00A13E33">
        <w:t>,</w:t>
      </w:r>
      <w:r>
        <w:t xml:space="preserve"> takich, jak częstotliwości taktowania procesora, wielkości pamięci podręcznych, czy innych parametrów budowy wewnętrznej procesora niesie ze sobą ryzyko dyskryminacji któregoś z producentów. W szczególności należy pamiętać, że:</w:t>
      </w:r>
    </w:p>
    <w:p w:rsidR="007A7FD2" w:rsidRDefault="007A7FD2" w:rsidP="00641095">
      <w:pPr>
        <w:pStyle w:val="Akapitzlist"/>
        <w:numPr>
          <w:ilvl w:val="0"/>
          <w:numId w:val="23"/>
        </w:numPr>
        <w:ind w:left="709"/>
      </w:pPr>
      <w:r>
        <w:t xml:space="preserve">procesory o różnych </w:t>
      </w:r>
      <w:proofErr w:type="spellStart"/>
      <w:r>
        <w:t>architekturach</w:t>
      </w:r>
      <w:proofErr w:type="spellEnd"/>
      <w:r>
        <w:t xml:space="preserve"> wewnętrznych mogą osiągać wymaganą wydajność przy innych wartościach częstotliwości zegara, czy wielkości pamięci podręcznej. Co więcej, rozwój technologii może zmieniać udział poszczególnych podzespołów komputera w osiąganiu jego wydajności – np. technologie pozwalające wykorzystywać moc procesorów graficznych do obliczeń nie związanych z przetwarzaniem obrazu będą zwiększały wpływ układu graficznego na wydajność całego urządzenia komputerowego. </w:t>
      </w:r>
      <w:r w:rsidRPr="00641095">
        <w:rPr>
          <w:u w:val="single"/>
        </w:rPr>
        <w:t xml:space="preserve">Dlatego zabronione jest określanie w </w:t>
      </w:r>
      <w:r w:rsidR="00FF75F2" w:rsidRPr="00641095">
        <w:rPr>
          <w:u w:val="single"/>
        </w:rPr>
        <w:t>SWZ</w:t>
      </w:r>
      <w:r w:rsidRPr="00641095">
        <w:rPr>
          <w:u w:val="single"/>
        </w:rPr>
        <w:t xml:space="preserve"> szczegółowych parametrów wewnętrznej architektury procesora</w:t>
      </w:r>
      <w:r>
        <w:t>;</w:t>
      </w:r>
    </w:p>
    <w:p w:rsidR="00332838" w:rsidRDefault="007A7FD2" w:rsidP="00641095">
      <w:pPr>
        <w:pStyle w:val="Akapitzlist"/>
        <w:numPr>
          <w:ilvl w:val="0"/>
          <w:numId w:val="23"/>
        </w:numPr>
        <w:ind w:left="709"/>
      </w:pPr>
      <w:r w:rsidRPr="00641095">
        <w:rPr>
          <w:u w:val="single"/>
        </w:rPr>
        <w:t>wymaganie  wspierania  przez  procesor  równoległego  wykonania  kilku  wątków (np. poprzez posiadanie kilku rdzeni) stanowi wymaganie, które wskazuje na sposób realizacji wzrostu mocy obliczeniowej. Dlatego jest niepożądane i może prowadzić do pośredniego preferowania podzespołów jednego producenta</w:t>
      </w:r>
      <w:r>
        <w:t>;</w:t>
      </w:r>
    </w:p>
    <w:p w:rsidR="00CB33C7" w:rsidRDefault="007A7FD2" w:rsidP="00641095">
      <w:pPr>
        <w:pStyle w:val="Akapitzlist"/>
        <w:numPr>
          <w:ilvl w:val="0"/>
          <w:numId w:val="23"/>
        </w:numPr>
        <w:ind w:left="709"/>
      </w:pPr>
      <w:r>
        <w:t xml:space="preserve">zwiększanie mocy obliczeniowej procesora powyżej pewnego poziomu (zwłaszcza poprzez zwiększanie możliwości zrównoleglenia wykonania kodu) nie będzie miało wpływu na odczuwaną przez użytkownika wydajność urządzenia. Procesor z większą liczbą rdzeni nie będzie wykonywał zadań szybciej, jeśli zadania te nie są zoptymalizowane dla przetwarzania równoległego lub gdy pojawi się wąskie gardło w innym miejscu systemu. Zadania, które mogą dużo zyskiwać dzięki zrównolegleniu, z definicji nie mogą wymagać (częstej) interakcji ze strony użytkownika (gdyż oczekiwanie na tę reakcję niweluje zysk ze zrównoleglenia). Z kolei o komforcie pracy </w:t>
      </w:r>
      <w:r>
        <w:lastRenderedPageBreak/>
        <w:t>użytkownika decydują przede wszystkim aplikacje, które wymagają jego interakcji. Aplikacje takie, jak  edytor tekstu, klient poczty elektronicznej, przeglądarka</w:t>
      </w:r>
      <w:r w:rsidR="007B10D9">
        <w:t>,</w:t>
      </w:r>
      <w:r>
        <w:t xml:space="preserve"> nie zyskują wiele na postrzeganej przez użytkowników wydajności dzięki zdolności procesora do wykonywania wielu wątków jednocześnie. </w:t>
      </w:r>
      <w:r w:rsidRPr="00641095">
        <w:rPr>
          <w:u w:val="single"/>
        </w:rPr>
        <w:t>Wymaganie konkretnych technologii wspierających zrównoleglanie obliczeń, może dyskryminować niektórych producentów sprzętu, w wielu przypadkach minimalnie wpływając na postrzeganą przez użytkowników wydajność</w:t>
      </w:r>
      <w:r>
        <w:t>;</w:t>
      </w:r>
    </w:p>
    <w:p w:rsidR="006B746A" w:rsidRDefault="007A7FD2" w:rsidP="00641095">
      <w:pPr>
        <w:pStyle w:val="Akapitzlist"/>
        <w:numPr>
          <w:ilvl w:val="0"/>
          <w:numId w:val="23"/>
        </w:numPr>
        <w:ind w:left="709"/>
      </w:pPr>
      <w:r>
        <w:t xml:space="preserve">zgodnie z prawem </w:t>
      </w:r>
      <w:proofErr w:type="spellStart"/>
      <w:r>
        <w:t>Amdahla</w:t>
      </w:r>
      <w:proofErr w:type="spellEnd"/>
      <w:r>
        <w:t xml:space="preserve">, przyspieszenie wykonania obliczeń poprzez ich zrównoleglenie ma swoje granice. Gdyby w przyszłości któryś z producentów procesorów stwierdził, że dalsze zwiększanie liczby rdzeni w procesorach przeznaczonych dla zwykłych użytkowników nie zwiększa wydajności urządzenia, </w:t>
      </w:r>
      <w:r w:rsidRPr="00641095">
        <w:rPr>
          <w:u w:val="single"/>
        </w:rPr>
        <w:t>wówczas specyfikacje wskazujące wymaganą liczbę rdzeni mogą naruszać zasady wolnej konkurencji poprzez wskazywanie na produkty jednego producent</w:t>
      </w:r>
      <w:r>
        <w:t xml:space="preserve">a – np. jeden z modeli procesora </w:t>
      </w:r>
      <w:proofErr w:type="spellStart"/>
      <w:r>
        <w:t>Core</w:t>
      </w:r>
      <w:proofErr w:type="spellEnd"/>
      <w:r>
        <w:t xml:space="preserve"> i7 firmy Intel ma 4 rdzenie oraz implementuje technologię </w:t>
      </w:r>
      <w:proofErr w:type="spellStart"/>
      <w:r>
        <w:t>Hyper-Threading</w:t>
      </w:r>
      <w:proofErr w:type="spellEnd"/>
      <w:r>
        <w:t xml:space="preserve">, która w sprzyjających okolicznościach pozwala podwoić liczbę wykonywanych jednocześnie wątków. </w:t>
      </w:r>
      <w:r w:rsidRPr="00641095">
        <w:rPr>
          <w:u w:val="single"/>
        </w:rPr>
        <w:t>Specyfikacja wymagająca procesora o maksymalnej liczbie jednocześnie wykonywanych wątków &gt;=8 wskazuje pośrednio na produkt jednej firmy</w:t>
      </w:r>
      <w:r>
        <w:t>;</w:t>
      </w:r>
    </w:p>
    <w:p w:rsidR="007A7FD2" w:rsidRDefault="007A7FD2" w:rsidP="00641095">
      <w:pPr>
        <w:pStyle w:val="Akapitzlist"/>
        <w:numPr>
          <w:ilvl w:val="0"/>
          <w:numId w:val="23"/>
        </w:numPr>
        <w:ind w:left="709"/>
      </w:pPr>
      <w:r w:rsidRPr="00641095">
        <w:rPr>
          <w:u w:val="single"/>
        </w:rPr>
        <w:t>wskazywanie minimalnej częstotliw</w:t>
      </w:r>
      <w:r w:rsidR="00FF604C" w:rsidRPr="00641095">
        <w:rPr>
          <w:u w:val="single"/>
        </w:rPr>
        <w:t xml:space="preserve">ości zegara może dyskryminować </w:t>
      </w:r>
      <w:r w:rsidRPr="00641095">
        <w:rPr>
          <w:u w:val="single"/>
        </w:rPr>
        <w:t>któregoś z producentów procesorów</w:t>
      </w:r>
      <w:r>
        <w:t xml:space="preserve"> np. wymuszając zastosowanie procesora z innej „półki cenowej” i zastosowaniowej (np. procesor serwerowy zamiast zwykłego procesora komputera osobistego).</w:t>
      </w:r>
    </w:p>
    <w:p w:rsidR="007A7FD2" w:rsidRDefault="007A7FD2" w:rsidP="007A7FD2">
      <w:pPr>
        <w:pStyle w:val="Nagwek3"/>
        <w:numPr>
          <w:ilvl w:val="2"/>
          <w:numId w:val="2"/>
        </w:numPr>
      </w:pPr>
      <w:bookmarkStart w:id="13" w:name="_Toc62214597"/>
      <w:r>
        <w:t>Wydajność urządzenia</w:t>
      </w:r>
      <w:bookmarkEnd w:id="13"/>
    </w:p>
    <w:p w:rsidR="007A7FD2" w:rsidRDefault="007A7FD2" w:rsidP="007A7FD2">
      <w:r w:rsidRPr="007A7FD2">
        <w:t>Wymaganie dostarczenia sprzętu o odpowiedniej wydajności dotyczy całego urządzenia  komputerowego, a nie tylko wybranych jego komponentów. Obiektywny pomiar spełnienia wymagań wydajnościowych zapewni stosowanie niezależnych testów aplikacyjnych.</w:t>
      </w:r>
    </w:p>
    <w:p w:rsidR="007A7FD2" w:rsidRDefault="007A7FD2" w:rsidP="007A7FD2"/>
    <w:p w:rsidR="007A7FD2" w:rsidRPr="007A7FD2" w:rsidRDefault="007A7FD2" w:rsidP="007A7FD2">
      <w:pPr>
        <w:pStyle w:val="Nagwek2"/>
        <w:numPr>
          <w:ilvl w:val="1"/>
          <w:numId w:val="2"/>
        </w:numPr>
      </w:pPr>
      <w:bookmarkStart w:id="14" w:name="_Toc62214598"/>
      <w:r>
        <w:t>Pamięć operacyjna</w:t>
      </w:r>
      <w:bookmarkEnd w:id="14"/>
    </w:p>
    <w:p w:rsidR="007A7FD2" w:rsidRDefault="007A7FD2" w:rsidP="007A7FD2">
      <w:r w:rsidRPr="007A7FD2">
        <w:t>Wielkoś</w:t>
      </w:r>
      <w:r w:rsidR="00911876">
        <w:t>ć</w:t>
      </w:r>
      <w:r w:rsidRPr="007A7FD2">
        <w:t xml:space="preserve"> pamięci operacyjnej jest istotnym parametrem decydującym o jakości pracy na komputerze. Zbyt mała ilość pamięci operacyjnej powoduje konieczność częstszego odwoływania się do znacznie wolniejszej pamięci dyskowej. To zamawiający wie, ile i jakich aplikacji będzie używać, dlatego też do niego należy określenie wymagań w tym zakresie.</w:t>
      </w:r>
    </w:p>
    <w:p w:rsidR="00BF2E8E" w:rsidRDefault="00BF2E8E" w:rsidP="007A7FD2">
      <w:r w:rsidRPr="00BF2E8E">
        <w:rPr>
          <w:u w:val="single"/>
        </w:rPr>
        <w:lastRenderedPageBreak/>
        <w:t>Nie oznacza to konieczności specyfikowania rodzaju układów pamięci RAM, które mają znaleźć się w urządzeniu  komputerowym, ani szczegółowych parametrów ich działania (opóźnienia, taktowanie i in.).</w:t>
      </w:r>
      <w:r w:rsidRPr="00BF2E8E">
        <w:t xml:space="preserve"> Parametry te mogą oczywiście wpływać na wydajność urządzenia komputerowego, tę jednak w sposób zadowalający można określić </w:t>
      </w:r>
      <w:r w:rsidRPr="00BF2E8E">
        <w:rPr>
          <w:b/>
        </w:rPr>
        <w:t>wymagając uzyskania odpowiedniego wyniku w teście aplikacyjnym</w:t>
      </w:r>
      <w:r w:rsidRPr="00BF2E8E">
        <w:t>. Podawanie tych parametrów może potencjalnie dyskryminować któregoś z producentów sprzętu, a jednocześnie nie jest konieczne – stąd rekomendacje wykluczają tego typu zapisy w opisie przedmiotu zamówienia.</w:t>
      </w:r>
    </w:p>
    <w:p w:rsidR="00BF2E8E" w:rsidRDefault="00BF2E8E" w:rsidP="00BF2E8E">
      <w:pPr>
        <w:pStyle w:val="Nagwek2"/>
        <w:numPr>
          <w:ilvl w:val="1"/>
          <w:numId w:val="2"/>
        </w:numPr>
      </w:pPr>
      <w:bookmarkStart w:id="15" w:name="_Toc62214599"/>
      <w:r>
        <w:t>Karta graficzna</w:t>
      </w:r>
      <w:bookmarkEnd w:id="15"/>
    </w:p>
    <w:p w:rsidR="00BF2E8E" w:rsidRDefault="00BF2E8E" w:rsidP="00BF2E8E">
      <w:r>
        <w:t>Karta graficzna jest elementem o złożonej architekturze. Podobnie jak w przypadku procesora, jej wydajność zależy od wielu czynników. Także wydajność osiągana jest dzięki różnym rozwiązaniom architektonicznym.</w:t>
      </w:r>
    </w:p>
    <w:p w:rsidR="00BF2E8E" w:rsidRPr="00BF2E8E" w:rsidRDefault="00BF2E8E" w:rsidP="00BF2E8E">
      <w:pPr>
        <w:rPr>
          <w:u w:val="single"/>
        </w:rPr>
      </w:pPr>
      <w:r>
        <w:t xml:space="preserve">Przykładowo: karta producenta A może mieć pamięć taktowaną zegarem o dwukrotnie wyższej częstotliwości, niż pamięć karty producenta B, ale z kolei karta producenta B może mieć 2 razy szerszą szynę danych. Karty mogą się też różnić liczbą jednostek obliczeniowych różnego typu i być taktowane zegarem o różnych częstotliwościach. Pomimo tych różnic mogą mieć podobną wydajność zmierzoną odpowiednim testem. </w:t>
      </w:r>
      <w:r w:rsidRPr="00BF2E8E">
        <w:rPr>
          <w:u w:val="single"/>
        </w:rPr>
        <w:t xml:space="preserve">Dlatego zamieszczanie w opisie przedmiotu zamówienia szczegółowych parametrów charakteryzujących budowę i działanie karty graficznej jest zbędne – stąd odpowiedni zapis w rekomendacji. </w:t>
      </w:r>
    </w:p>
    <w:p w:rsidR="00BF2E8E" w:rsidRDefault="00BF2E8E" w:rsidP="00BF2E8E">
      <w:r>
        <w:t>Należy dodać, że dla niektórych zastosowań graficznych ilość pamięci może mieć znaczenie dla wydajnego działania aplikacji, jednakże nie oznacza to, że uzasadnione będzie zamieszczenie w opisie przedmiotu zamówienia szczegółowych parametrów budowy i działania karty, z wyjątkiem ilości pamięci.</w:t>
      </w:r>
    </w:p>
    <w:p w:rsidR="00BF2E8E" w:rsidRDefault="00BF2E8E" w:rsidP="00BF2E8E"/>
    <w:p w:rsidR="00BF2E8E" w:rsidRDefault="00BF2E8E" w:rsidP="00BF2E8E">
      <w:pPr>
        <w:pStyle w:val="Nagwek2"/>
        <w:numPr>
          <w:ilvl w:val="1"/>
          <w:numId w:val="2"/>
        </w:numPr>
      </w:pPr>
      <w:bookmarkStart w:id="16" w:name="_Toc62214600"/>
      <w:r>
        <w:t>Płyta główna</w:t>
      </w:r>
      <w:bookmarkEnd w:id="16"/>
    </w:p>
    <w:p w:rsidR="00ED0DC8" w:rsidRDefault="00450C4B" w:rsidP="00A6183F">
      <w:r w:rsidRPr="00BF2E8E">
        <w:t xml:space="preserve">Wymagania dotyczące płyty głównej powinny się koncentrować na udostępnianej przez płytę funkcjonalności, np. na </w:t>
      </w:r>
      <w:r>
        <w:t>zespolonych z nią fabrycznie nieusuwalnych</w:t>
      </w:r>
      <w:r w:rsidRPr="00BF2E8E" w:rsidDel="00530224">
        <w:t xml:space="preserve"> </w:t>
      </w:r>
      <w:r w:rsidRPr="00BF2E8E">
        <w:t xml:space="preserve">podzespołach (np. </w:t>
      </w:r>
      <w:r>
        <w:t xml:space="preserve">zespolona </w:t>
      </w:r>
      <w:r w:rsidRPr="00BF2E8E">
        <w:t>karta dźwiękowa, sieciowa</w:t>
      </w:r>
      <w:r>
        <w:t>, moduł TPM</w:t>
      </w:r>
      <w:r w:rsidRPr="00BF2E8E">
        <w:t xml:space="preserve">), obsługiwanych przez płytę standardach (np. USB, </w:t>
      </w:r>
      <w:proofErr w:type="spellStart"/>
      <w:r w:rsidRPr="00BF2E8E">
        <w:t>Firewire</w:t>
      </w:r>
      <w:proofErr w:type="spellEnd"/>
      <w:r w:rsidRPr="00BF2E8E">
        <w:t>) i dostępności złączy (liczba złącz USB 2.0/3.0, liczba złącz kart rozszerzeń, liczba wolnych slotów pamięci).</w:t>
      </w:r>
    </w:p>
    <w:p w:rsidR="00BF2E8E" w:rsidRDefault="00BF2E8E" w:rsidP="00BF2E8E">
      <w:r w:rsidRPr="00BF2E8E">
        <w:rPr>
          <w:u w:val="single"/>
        </w:rPr>
        <w:t xml:space="preserve">Określanie elementów składowych płyty głównej, takich jak model chipsetu, nawet w postaci „chipset zaprojektowany/dedykowany przed producenta jednostki centralnej”, nie </w:t>
      </w:r>
      <w:r w:rsidRPr="00BF2E8E">
        <w:rPr>
          <w:u w:val="single"/>
        </w:rPr>
        <w:lastRenderedPageBreak/>
        <w:t>powinno mieć miejsca</w:t>
      </w:r>
      <w:r>
        <w:t>, gdyż wymaganie to nie wpływa na właściwości użytkowe typowego urządzenia komputerowego ponad właściwości określone innymi parametrami specyfikacji, a może naruszać konkurencję na rynku chipsetów – stąd odpowiednie zapisy w rekomendacjach.</w:t>
      </w:r>
    </w:p>
    <w:p w:rsidR="00BF2E8E" w:rsidRDefault="00BF2E8E" w:rsidP="00BF2E8E">
      <w:r>
        <w:t>Przykładowo: firma nie produkująca procesorów, ale produkująca chipsety płyt głównych byłaby dyskryminowana w takim postępowaniu o udzielenie zamówienia.</w:t>
      </w:r>
    </w:p>
    <w:p w:rsidR="00BF2E8E" w:rsidRDefault="00BF2E8E" w:rsidP="00BF2E8E">
      <w:r>
        <w:t xml:space="preserve">Również wymagania dotyczące magistral łączących podzespoły płyty głównej między sobą, z procesorem lub z kartami rozszerzeń nie powinny być specyfikowane. Stosowane w tej materii rozwiązania będą ulegać zmianie, a także konkurują między sobą. Przykładowo magistrala </w:t>
      </w:r>
      <w:proofErr w:type="spellStart"/>
      <w:r>
        <w:t>HyperTransport</w:t>
      </w:r>
      <w:proofErr w:type="spellEnd"/>
      <w:r>
        <w:t xml:space="preserve"> jest właściwa dla komputerów opartych na procesorach AMD, a z kolei </w:t>
      </w:r>
      <w:proofErr w:type="spellStart"/>
      <w:r>
        <w:t>QuickPath</w:t>
      </w:r>
      <w:proofErr w:type="spellEnd"/>
      <w:r>
        <w:t xml:space="preserve"> </w:t>
      </w:r>
      <w:proofErr w:type="spellStart"/>
      <w:r>
        <w:t>Interconnect</w:t>
      </w:r>
      <w:proofErr w:type="spellEnd"/>
      <w:r>
        <w:t xml:space="preserve"> dla procesorów firmy Intel. </w:t>
      </w:r>
      <w:r w:rsidRPr="00BF2E8E">
        <w:rPr>
          <w:u w:val="single"/>
        </w:rPr>
        <w:t>Wymaganie konkretnego typu magistrali (lub konkretnej częstotliwości jej taktowania) może naruszać konkurencję.</w:t>
      </w:r>
    </w:p>
    <w:p w:rsidR="00BF2E8E" w:rsidRDefault="00BF2E8E" w:rsidP="00BF2E8E">
      <w:r>
        <w:t>Zapisy takie uznano więc zarówno za zbędne, jak i potencjalnie ograniczające konkurencję.</w:t>
      </w:r>
    </w:p>
    <w:p w:rsidR="00A45A6A" w:rsidRDefault="00A45A6A" w:rsidP="00BF2E8E"/>
    <w:p w:rsidR="00A45A6A" w:rsidRDefault="00A45A6A" w:rsidP="00A45A6A">
      <w:pPr>
        <w:pStyle w:val="Nagwek2"/>
        <w:numPr>
          <w:ilvl w:val="1"/>
          <w:numId w:val="2"/>
        </w:numPr>
      </w:pPr>
      <w:bookmarkStart w:id="17" w:name="_Toc62214601"/>
      <w:r>
        <w:t>Dysk twardy</w:t>
      </w:r>
      <w:bookmarkEnd w:id="17"/>
    </w:p>
    <w:p w:rsidR="00A45A6A" w:rsidRDefault="00A45A6A" w:rsidP="00A45A6A">
      <w:r w:rsidRPr="00A45A6A">
        <w:t>Należy dostosować pojemność dysku do przewidywanego zapotrzebowania na dane. Przykładowo, w przypadku zamawiania urządzenia na typowe potrzeby biurowe nie jest konieczne</w:t>
      </w:r>
      <w:r>
        <w:t>,</w:t>
      </w:r>
      <w:r w:rsidRPr="00A45A6A">
        <w:t xml:space="preserve"> aby dysk miał bardzo dużą pojemność. Na rynku dostępne są obecnie dwa rodzaje dysków ze względu na technologię przechowywania danych</w:t>
      </w:r>
      <w:r w:rsidR="001D6757">
        <w:t>:</w:t>
      </w:r>
      <w:r w:rsidRPr="00A45A6A">
        <w:t xml:space="preserve"> talerzowe i półprzewodnikowe. Wybór technologii będzie miał duże wpływ na wydajność całego urządzenia komputerowego oraz relacje pojemności do ceny.</w:t>
      </w:r>
    </w:p>
    <w:p w:rsidR="00CE295C" w:rsidRDefault="00CE295C" w:rsidP="00A45A6A">
      <w:r>
        <w:t>W przypadku dysków twardych</w:t>
      </w:r>
      <w:r w:rsidR="00590FA5">
        <w:t xml:space="preserve"> wewnętrznych</w:t>
      </w:r>
      <w:r>
        <w:t xml:space="preserve">, zamawianych jako osobny produkt </w:t>
      </w:r>
      <w:r w:rsidR="00590FA5">
        <w:t xml:space="preserve">do </w:t>
      </w:r>
      <w:r>
        <w:t xml:space="preserve">rozbudowania pojemności na dane posiadanego już komputera możliwe jest określenie szczegółowych parametrów technicznych w celu określenia wymaganej wydajności i trwałości. </w:t>
      </w:r>
    </w:p>
    <w:p w:rsidR="00A45A6A" w:rsidRDefault="00A45A6A" w:rsidP="00A45A6A"/>
    <w:p w:rsidR="00A45A6A" w:rsidRDefault="00A45A6A" w:rsidP="00A45A6A">
      <w:pPr>
        <w:pStyle w:val="Nagwek2"/>
        <w:numPr>
          <w:ilvl w:val="1"/>
          <w:numId w:val="2"/>
        </w:numPr>
      </w:pPr>
      <w:bookmarkStart w:id="18" w:name="_Toc62214602"/>
      <w:r>
        <w:t>Monitor i inne urządzenia peryferyjne</w:t>
      </w:r>
      <w:bookmarkEnd w:id="18"/>
    </w:p>
    <w:p w:rsidR="00A45A6A" w:rsidRPr="002652A8" w:rsidRDefault="00A45A6A" w:rsidP="00A45A6A">
      <w:pPr>
        <w:rPr>
          <w:u w:val="single"/>
        </w:rPr>
      </w:pPr>
      <w:r w:rsidRPr="00A45A6A">
        <w:t>Urządzenia peryferyjne, takie jak mysz, klawiatura</w:t>
      </w:r>
      <w:r w:rsidR="00CE295C">
        <w:t>, dysk zewnętrzny</w:t>
      </w:r>
      <w:r w:rsidRPr="00A45A6A">
        <w:t xml:space="preserve"> czy monitor (z wyłączeniem komputerów przenośnych) stanowią zewnętrzny i łatwo wymienny element dołączany do urządzenia komputerowego. Z tego względu wymagania odnośnie tych elementów mogą być w zasadzie określane dowolnie, o ile ich spełnienie jest możliwie przez </w:t>
      </w:r>
      <w:r w:rsidRPr="00A45A6A">
        <w:lastRenderedPageBreak/>
        <w:t>więcej niż jeden</w:t>
      </w:r>
      <w:r>
        <w:t xml:space="preserve"> produkt. </w:t>
      </w:r>
      <w:r w:rsidRPr="002652A8">
        <w:rPr>
          <w:u w:val="single"/>
        </w:rPr>
        <w:t>Nie należy jednak wymagać, by pochodziły one od jednego producenta lub od producenta jednostki centralnej, gdyż zbędnie ogranicza to konkurencję, która istnieje także między producentami monitorów i innych urządzeń peryferyjnych.</w:t>
      </w:r>
    </w:p>
    <w:p w:rsidR="00A45A6A" w:rsidRDefault="00A45A6A" w:rsidP="00A45A6A">
      <w:r>
        <w:t>Z kolei wyświetlacz w laptopie jest elementem niewymiennym. Przy jego specyfikowaniu należy unikać stosowania nazw technologii właściwych dla jednego producenta. Można natomiast specyfikować wymagania funkcjonalne typu kąty patrzenia w pionie i poziomie, typ matrycy (matowa, odblaskowa), rodzaj podświetlenia, wielkość i rozdzielczość natywna.</w:t>
      </w:r>
    </w:p>
    <w:p w:rsidR="002652A8" w:rsidRDefault="002652A8" w:rsidP="00A45A6A"/>
    <w:p w:rsidR="002652A8" w:rsidRDefault="002652A8" w:rsidP="002652A8">
      <w:pPr>
        <w:pStyle w:val="Nagwek2"/>
        <w:numPr>
          <w:ilvl w:val="1"/>
          <w:numId w:val="2"/>
        </w:numPr>
      </w:pPr>
      <w:bookmarkStart w:id="19" w:name="_Toc62214603"/>
      <w:r>
        <w:t>Dyskryminujący zbieg wymagań</w:t>
      </w:r>
      <w:bookmarkEnd w:id="19"/>
    </w:p>
    <w:p w:rsidR="002652A8" w:rsidRDefault="00B947FE" w:rsidP="002652A8">
      <w:r>
        <w:t xml:space="preserve">Przykładem </w:t>
      </w:r>
      <w:r w:rsidR="002652A8">
        <w:t>dyskryminującego zbiegu wymagań jest łączny zakup licencji na oprogramowanie oraz sprzętu, w sytuacji, gdy na danym rynku istnieje</w:t>
      </w:r>
      <w:r w:rsidR="00EF4463">
        <w:t xml:space="preserve"> tylko</w:t>
      </w:r>
      <w:r w:rsidR="002652A8">
        <w:t xml:space="preserve"> jeden podmiot dysponujący możliwością udzielenia / sprzedaży licencji na oprogramowanie.</w:t>
      </w:r>
    </w:p>
    <w:p w:rsidR="002652A8" w:rsidRDefault="00595A62" w:rsidP="002652A8">
      <w:r>
        <w:t xml:space="preserve">Powyższy błąd łatwo popełnić szczególnie w przypadku </w:t>
      </w:r>
      <w:r w:rsidR="002652A8">
        <w:t>specyfikacj</w:t>
      </w:r>
      <w:r>
        <w:t>i</w:t>
      </w:r>
      <w:r w:rsidR="002652A8">
        <w:t xml:space="preserve"> dotycząc</w:t>
      </w:r>
      <w:r>
        <w:t>ych</w:t>
      </w:r>
      <w:r w:rsidR="002652A8">
        <w:t xml:space="preserve"> komputerów przenośnych (laptopy, notebooki). Są one komputerami, w których możliwość wprowadzania zmian w konfiguracji jest nieduża</w:t>
      </w:r>
      <w:r w:rsidR="00394FEC">
        <w:t>, ponieważ</w:t>
      </w:r>
      <w:r w:rsidR="002652A8">
        <w:t xml:space="preserve"> większość podzespołów jest niewymienna. Dlatego jest tu szczególnie łatwo o sytuację, w której zbieg kilku potencjalnie niedyskryminujących wymagań prowadzi do ograniczenia wybor</w:t>
      </w:r>
      <w:r w:rsidR="00F52502">
        <w:t>u</w:t>
      </w:r>
      <w:r w:rsidR="002652A8">
        <w:t xml:space="preserve"> do jednego modelu</w:t>
      </w:r>
      <w:r w:rsidR="00F52502">
        <w:t xml:space="preserve"> komputera przenośnego</w:t>
      </w:r>
      <w:r w:rsidR="002652A8">
        <w:t>.</w:t>
      </w:r>
    </w:p>
    <w:p w:rsidR="002652A8" w:rsidRDefault="002652A8" w:rsidP="002652A8">
      <w:r>
        <w:t xml:space="preserve">Generalnie w przypadku specyfikowania pewnej wąskiej klasy komputerów przenośnych (np. niewielkie komputery mobilne o masie do 1,5 kg lub laptopy wysokowydajne) należy być ostrożnym w formułowaniu wymagań odnośnie dodatkowego wyposażenia wbudowanego w laptop i jego właściwości, gdyż istnieje tu znaczne ryzyko, </w:t>
      </w:r>
      <w:proofErr w:type="spellStart"/>
      <w:r w:rsidR="0045025B">
        <w:t>e</w:t>
      </w:r>
      <w:r>
        <w:t>ż</w:t>
      </w:r>
      <w:proofErr w:type="spellEnd"/>
      <w:r>
        <w:t xml:space="preserve"> tak określone wymagania będą dyskryminowały któregoś z producentów. Stosowanie zasady, że specyfikowane powinny być właściwości użytkowe powinno pomóc uniknąć powstania dyskryminującego zbiegu wymagań.</w:t>
      </w:r>
    </w:p>
    <w:p w:rsidR="003A2F98" w:rsidRDefault="003A2F98" w:rsidP="002652A8"/>
    <w:p w:rsidR="002652A8" w:rsidRDefault="002652A8" w:rsidP="002652A8">
      <w:pPr>
        <w:pStyle w:val="Nagwek1"/>
        <w:numPr>
          <w:ilvl w:val="0"/>
          <w:numId w:val="2"/>
        </w:numPr>
      </w:pPr>
      <w:bookmarkStart w:id="20" w:name="_Toc62214604"/>
      <w:r>
        <w:lastRenderedPageBreak/>
        <w:t>Przykładowy opis wymagań dla urządzenia komputerowego</w:t>
      </w:r>
      <w:bookmarkEnd w:id="20"/>
    </w:p>
    <w:p w:rsidR="002652A8" w:rsidRDefault="002652A8" w:rsidP="002652A8">
      <w:pPr>
        <w:pStyle w:val="Nagwek4"/>
      </w:pPr>
      <w:r>
        <w:t>Specyfikacja jednostki centralnej</w:t>
      </w:r>
    </w:p>
    <w:tbl>
      <w:tblPr>
        <w:tblStyle w:val="Tabela-Siatka"/>
        <w:tblW w:w="0" w:type="auto"/>
        <w:tblLook w:val="04A0" w:firstRow="1" w:lastRow="0" w:firstColumn="1" w:lastColumn="0" w:noHBand="0" w:noVBand="1"/>
      </w:tblPr>
      <w:tblGrid>
        <w:gridCol w:w="2547"/>
        <w:gridCol w:w="6515"/>
      </w:tblGrid>
      <w:tr w:rsidR="002652A8" w:rsidTr="002652A8">
        <w:tc>
          <w:tcPr>
            <w:tcW w:w="2547" w:type="dxa"/>
          </w:tcPr>
          <w:p w:rsidR="002652A8" w:rsidRPr="00641095" w:rsidRDefault="002652A8" w:rsidP="002652A8">
            <w:pPr>
              <w:ind w:firstLine="0"/>
              <w:jc w:val="center"/>
              <w:rPr>
                <w:b/>
                <w:i/>
              </w:rPr>
            </w:pPr>
            <w:r w:rsidRPr="00641095">
              <w:rPr>
                <w:b/>
                <w:i/>
              </w:rPr>
              <w:t>Atrybut</w:t>
            </w:r>
          </w:p>
        </w:tc>
        <w:tc>
          <w:tcPr>
            <w:tcW w:w="6515" w:type="dxa"/>
          </w:tcPr>
          <w:p w:rsidR="002652A8" w:rsidRPr="00641095" w:rsidRDefault="002652A8" w:rsidP="002652A8">
            <w:pPr>
              <w:ind w:firstLine="0"/>
              <w:jc w:val="center"/>
              <w:rPr>
                <w:b/>
                <w:i/>
              </w:rPr>
            </w:pPr>
            <w:r w:rsidRPr="00641095">
              <w:rPr>
                <w:b/>
                <w:i/>
              </w:rPr>
              <w:t>Sposób określenia</w:t>
            </w:r>
          </w:p>
        </w:tc>
      </w:tr>
      <w:tr w:rsidR="002652A8" w:rsidTr="00D501D3">
        <w:tc>
          <w:tcPr>
            <w:tcW w:w="2547" w:type="dxa"/>
          </w:tcPr>
          <w:p w:rsidR="002652A8" w:rsidRPr="00641095" w:rsidRDefault="002652A8" w:rsidP="002652A8">
            <w:pPr>
              <w:ind w:firstLine="0"/>
              <w:rPr>
                <w:b/>
              </w:rPr>
            </w:pPr>
            <w:r w:rsidRPr="00641095">
              <w:rPr>
                <w:b/>
              </w:rPr>
              <w:t>Typ urządzenia</w:t>
            </w:r>
          </w:p>
        </w:tc>
        <w:tc>
          <w:tcPr>
            <w:tcW w:w="6515" w:type="dxa"/>
            <w:vAlign w:val="bottom"/>
          </w:tcPr>
          <w:p w:rsidR="002652A8" w:rsidRDefault="002652A8" w:rsidP="002652A8">
            <w:pPr>
              <w:ind w:firstLine="0"/>
            </w:pPr>
            <w:r w:rsidRPr="002652A8">
              <w:t>Zgodnie z definicja</w:t>
            </w:r>
            <w:r>
              <w:t>mi urządzeń komputerowych (pkt 1</w:t>
            </w:r>
            <w:r w:rsidRPr="002652A8">
              <w:t>.1.)</w:t>
            </w:r>
          </w:p>
        </w:tc>
      </w:tr>
      <w:tr w:rsidR="002652A8" w:rsidTr="002652A8">
        <w:tc>
          <w:tcPr>
            <w:tcW w:w="2547" w:type="dxa"/>
          </w:tcPr>
          <w:p w:rsidR="002652A8" w:rsidRPr="00641095" w:rsidRDefault="002652A8" w:rsidP="002652A8">
            <w:pPr>
              <w:ind w:firstLine="0"/>
              <w:rPr>
                <w:b/>
              </w:rPr>
            </w:pPr>
            <w:r w:rsidRPr="00641095">
              <w:rPr>
                <w:b/>
              </w:rPr>
              <w:t xml:space="preserve">Zastosowanie </w:t>
            </w:r>
          </w:p>
        </w:tc>
        <w:tc>
          <w:tcPr>
            <w:tcW w:w="6515" w:type="dxa"/>
          </w:tcPr>
          <w:p w:rsidR="002652A8" w:rsidRDefault="002652A8" w:rsidP="002652A8">
            <w:pPr>
              <w:ind w:firstLine="0"/>
            </w:pPr>
            <w:r>
              <w:t>Komputer  będzie  wykorzystywany  dla  potrzeb  aplikacji biurowych.</w:t>
            </w:r>
          </w:p>
        </w:tc>
      </w:tr>
      <w:tr w:rsidR="002652A8" w:rsidTr="002652A8">
        <w:tc>
          <w:tcPr>
            <w:tcW w:w="2547" w:type="dxa"/>
          </w:tcPr>
          <w:p w:rsidR="002652A8" w:rsidRPr="00641095" w:rsidRDefault="002652A8" w:rsidP="002652A8">
            <w:pPr>
              <w:ind w:firstLine="0"/>
              <w:rPr>
                <w:b/>
              </w:rPr>
            </w:pPr>
            <w:r w:rsidRPr="00641095">
              <w:rPr>
                <w:b/>
              </w:rPr>
              <w:t>Wydajność obliczeniowa</w:t>
            </w:r>
          </w:p>
        </w:tc>
        <w:tc>
          <w:tcPr>
            <w:tcW w:w="6515" w:type="dxa"/>
          </w:tcPr>
          <w:p w:rsidR="002652A8" w:rsidRDefault="002652A8" w:rsidP="002652A8">
            <w:pPr>
              <w:ind w:firstLine="0"/>
            </w:pPr>
            <w:r>
              <w:t>Komputer   powinien   osiągać   w   teście   wydajności</w:t>
            </w:r>
          </w:p>
          <w:p w:rsidR="00450C4B" w:rsidRDefault="00450C4B" w:rsidP="002652A8">
            <w:pPr>
              <w:ind w:firstLine="0"/>
            </w:pPr>
            <w:r>
              <w:t>- dla testów BAPCO:</w:t>
            </w:r>
          </w:p>
          <w:p w:rsidR="002652A8" w:rsidRPr="00A6183F" w:rsidRDefault="00C04514" w:rsidP="002652A8">
            <w:pPr>
              <w:ind w:firstLine="0"/>
            </w:pPr>
            <w:proofErr w:type="spellStart"/>
            <w:r w:rsidRPr="00464CE5">
              <w:t>Sysmark</w:t>
            </w:r>
            <w:proofErr w:type="spellEnd"/>
            <w:r w:rsidRPr="00464CE5">
              <w:t xml:space="preserve"> 2018 – </w:t>
            </w:r>
            <w:proofErr w:type="spellStart"/>
            <w:r w:rsidRPr="00464CE5">
              <w:t>Overall</w:t>
            </w:r>
            <w:proofErr w:type="spellEnd"/>
            <w:r w:rsidRPr="00464CE5">
              <w:t xml:space="preserve"> Rating wynik  </w:t>
            </w:r>
            <w:proofErr w:type="spellStart"/>
            <w:r w:rsidRPr="00464CE5">
              <w:t>min.xxxxxx</w:t>
            </w:r>
            <w:proofErr w:type="spellEnd"/>
          </w:p>
          <w:p w:rsidR="00450C4B" w:rsidRPr="00450C4B" w:rsidRDefault="00450C4B" w:rsidP="002652A8">
            <w:pPr>
              <w:ind w:firstLine="0"/>
            </w:pPr>
            <w:r w:rsidRPr="003E6AD7">
              <w:t xml:space="preserve">Dodatkowo, w zależności od przewidywanego sposobu </w:t>
            </w:r>
            <w:proofErr w:type="spellStart"/>
            <w:r w:rsidRPr="003E6AD7">
              <w:t>użykowania</w:t>
            </w:r>
            <w:proofErr w:type="spellEnd"/>
            <w:r w:rsidRPr="003E6AD7">
              <w:t xml:space="preserve"> zamawiający może wymagać podania wyniku dla </w:t>
            </w:r>
            <w:proofErr w:type="spellStart"/>
            <w:r w:rsidRPr="003E6AD7">
              <w:t>jedego</w:t>
            </w:r>
            <w:proofErr w:type="spellEnd"/>
            <w:r w:rsidRPr="003E6AD7">
              <w:t xml:space="preserve"> z poniższych testów składowych </w:t>
            </w:r>
            <w:proofErr w:type="spellStart"/>
            <w:r w:rsidRPr="003E6AD7">
              <w:t>Overall</w:t>
            </w:r>
            <w:proofErr w:type="spellEnd"/>
            <w:r w:rsidRPr="003E6AD7">
              <w:t xml:space="preserve"> Rating:</w:t>
            </w:r>
          </w:p>
          <w:p w:rsidR="002652A8" w:rsidRDefault="002652A8" w:rsidP="002652A8">
            <w:pPr>
              <w:ind w:firstLine="0"/>
            </w:pPr>
            <w:r>
              <w:t xml:space="preserve">Productivity – co najmniej wynik </w:t>
            </w:r>
            <w:proofErr w:type="spellStart"/>
            <w:r>
              <w:t>xxxxx</w:t>
            </w:r>
            <w:proofErr w:type="spellEnd"/>
            <w:r>
              <w:t xml:space="preserve"> punktów</w:t>
            </w:r>
          </w:p>
          <w:p w:rsidR="002652A8" w:rsidRDefault="002652A8" w:rsidP="002652A8">
            <w:pPr>
              <w:ind w:firstLine="0"/>
            </w:pPr>
            <w:proofErr w:type="spellStart"/>
            <w:r>
              <w:t>Creativity</w:t>
            </w:r>
            <w:proofErr w:type="spellEnd"/>
            <w:r>
              <w:t xml:space="preserve"> – co najmniej wynik </w:t>
            </w:r>
            <w:proofErr w:type="spellStart"/>
            <w:r>
              <w:t>xxxxx</w:t>
            </w:r>
            <w:proofErr w:type="spellEnd"/>
            <w:r>
              <w:t xml:space="preserve"> punktów</w:t>
            </w:r>
          </w:p>
          <w:p w:rsidR="002652A8" w:rsidRDefault="002652A8" w:rsidP="002652A8">
            <w:pPr>
              <w:ind w:firstLine="0"/>
            </w:pPr>
            <w:proofErr w:type="spellStart"/>
            <w:r>
              <w:t>Responsiveness</w:t>
            </w:r>
            <w:proofErr w:type="spellEnd"/>
            <w:r>
              <w:t xml:space="preserve"> – co najmniej wynik </w:t>
            </w:r>
            <w:proofErr w:type="spellStart"/>
            <w:r>
              <w:t>xxxxx</w:t>
            </w:r>
            <w:proofErr w:type="spellEnd"/>
            <w:r>
              <w:t xml:space="preserve"> punktów</w:t>
            </w:r>
          </w:p>
          <w:p w:rsidR="002652A8" w:rsidRPr="00641095" w:rsidRDefault="002652A8" w:rsidP="002652A8">
            <w:pPr>
              <w:ind w:firstLine="0"/>
            </w:pPr>
            <w:r>
              <w:t xml:space="preserve">Wymagane testy wydajnościowe wykonawca musi przeprowadzić na automatycznych ustawieniach konfiguratora dołączonego przez firmę BAPCO i przy natywnej rozdzielczości wyświetlacza oraz włączonych wszystkich urządzaniach. Nie dopuszcza się stosowanie </w:t>
            </w:r>
            <w:proofErr w:type="spellStart"/>
            <w:r>
              <w:t>overclokingu</w:t>
            </w:r>
            <w:proofErr w:type="spellEnd"/>
            <w:r>
              <w:t xml:space="preserve">, oprogramowania wspomagającego pochodzącego z innego źródła niż </w:t>
            </w:r>
            <w:r w:rsidRPr="00641095">
              <w:t>fabrycznie zainstalowane oprogramowanie przez producenta.</w:t>
            </w:r>
          </w:p>
          <w:p w:rsidR="00450C4B" w:rsidRPr="00641095" w:rsidRDefault="00450C4B" w:rsidP="00450C4B">
            <w:pPr>
              <w:ind w:firstLine="0"/>
            </w:pPr>
            <w:r w:rsidRPr="00641095">
              <w:t>Lub</w:t>
            </w:r>
          </w:p>
          <w:p w:rsidR="00450C4B" w:rsidRPr="00641095" w:rsidRDefault="00450C4B" w:rsidP="00450C4B">
            <w:pPr>
              <w:ind w:firstLine="0"/>
            </w:pPr>
            <w:r w:rsidRPr="00641095">
              <w:t>- dla testów PC Mark 10</w:t>
            </w:r>
          </w:p>
          <w:p w:rsidR="00450C4B" w:rsidRPr="00641095" w:rsidRDefault="00450C4B" w:rsidP="00450C4B">
            <w:pPr>
              <w:ind w:firstLine="0"/>
            </w:pPr>
            <w:proofErr w:type="spellStart"/>
            <w:r w:rsidRPr="00641095">
              <w:t>Overall</w:t>
            </w:r>
            <w:proofErr w:type="spellEnd"/>
            <w:r w:rsidRPr="00641095">
              <w:t xml:space="preserve"> </w:t>
            </w:r>
            <w:proofErr w:type="spellStart"/>
            <w:r w:rsidRPr="00641095">
              <w:t>score</w:t>
            </w:r>
            <w:proofErr w:type="spellEnd"/>
            <w:r w:rsidRPr="00641095">
              <w:t xml:space="preserve"> – wynik min.: XXXXX</w:t>
            </w:r>
          </w:p>
          <w:p w:rsidR="00450C4B" w:rsidRPr="00641095" w:rsidRDefault="00450C4B" w:rsidP="00450C4B">
            <w:pPr>
              <w:ind w:firstLine="0"/>
            </w:pPr>
            <w:r w:rsidRPr="00641095">
              <w:t xml:space="preserve">Dodatkowo, w zależności od przewidywanego sposobu </w:t>
            </w:r>
            <w:proofErr w:type="spellStart"/>
            <w:r w:rsidRPr="00641095">
              <w:t>użykowania</w:t>
            </w:r>
            <w:proofErr w:type="spellEnd"/>
            <w:r w:rsidRPr="00641095">
              <w:t xml:space="preserve"> zamawiający może wymagać podania wyniku dla </w:t>
            </w:r>
            <w:proofErr w:type="spellStart"/>
            <w:r w:rsidRPr="00641095">
              <w:t>jedego</w:t>
            </w:r>
            <w:proofErr w:type="spellEnd"/>
            <w:r w:rsidRPr="00641095">
              <w:t xml:space="preserve"> z poniższych testów składowych </w:t>
            </w:r>
            <w:proofErr w:type="spellStart"/>
            <w:r w:rsidRPr="00641095">
              <w:t>Overall</w:t>
            </w:r>
            <w:proofErr w:type="spellEnd"/>
            <w:r w:rsidRPr="00641095">
              <w:t xml:space="preserve"> </w:t>
            </w:r>
            <w:proofErr w:type="spellStart"/>
            <w:r w:rsidRPr="00641095">
              <w:t>score</w:t>
            </w:r>
            <w:proofErr w:type="spellEnd"/>
            <w:r w:rsidRPr="00641095">
              <w:t>:</w:t>
            </w:r>
          </w:p>
          <w:p w:rsidR="00450C4B" w:rsidRPr="00641095" w:rsidRDefault="00450C4B" w:rsidP="00450C4B">
            <w:pPr>
              <w:ind w:firstLine="0"/>
              <w:rPr>
                <w:lang w:val="en-US"/>
              </w:rPr>
            </w:pPr>
            <w:r w:rsidRPr="00641095">
              <w:rPr>
                <w:lang w:val="en-US"/>
              </w:rPr>
              <w:lastRenderedPageBreak/>
              <w:t xml:space="preserve">Essentials score – </w:t>
            </w:r>
            <w:proofErr w:type="spellStart"/>
            <w:r w:rsidRPr="00641095">
              <w:rPr>
                <w:lang w:val="en-US"/>
              </w:rPr>
              <w:t>wynik</w:t>
            </w:r>
            <w:proofErr w:type="spellEnd"/>
            <w:r w:rsidRPr="00641095">
              <w:rPr>
                <w:lang w:val="en-US"/>
              </w:rPr>
              <w:t xml:space="preserve"> min.: XXXXX</w:t>
            </w:r>
          </w:p>
          <w:p w:rsidR="00450C4B" w:rsidRPr="00641095" w:rsidRDefault="00450C4B" w:rsidP="00450C4B">
            <w:pPr>
              <w:ind w:firstLine="0"/>
              <w:rPr>
                <w:lang w:val="en-US"/>
              </w:rPr>
            </w:pPr>
            <w:r w:rsidRPr="00641095">
              <w:rPr>
                <w:lang w:val="en-US"/>
              </w:rPr>
              <w:t xml:space="preserve">Productivity score – </w:t>
            </w:r>
            <w:proofErr w:type="spellStart"/>
            <w:r w:rsidRPr="00641095">
              <w:rPr>
                <w:lang w:val="en-US"/>
              </w:rPr>
              <w:t>wynik</w:t>
            </w:r>
            <w:proofErr w:type="spellEnd"/>
            <w:r w:rsidRPr="00641095">
              <w:rPr>
                <w:lang w:val="en-US"/>
              </w:rPr>
              <w:t xml:space="preserve"> min.: XXXXX</w:t>
            </w:r>
          </w:p>
          <w:p w:rsidR="00450C4B" w:rsidRPr="00641095" w:rsidRDefault="00450C4B" w:rsidP="00450C4B">
            <w:pPr>
              <w:ind w:firstLine="0"/>
              <w:rPr>
                <w:lang w:val="en-US"/>
              </w:rPr>
            </w:pPr>
            <w:r w:rsidRPr="00641095">
              <w:rPr>
                <w:lang w:val="en-US"/>
              </w:rPr>
              <w:t xml:space="preserve">Digital Content Creation score – </w:t>
            </w:r>
            <w:proofErr w:type="spellStart"/>
            <w:r w:rsidRPr="00641095">
              <w:rPr>
                <w:lang w:val="en-US"/>
              </w:rPr>
              <w:t>wynik</w:t>
            </w:r>
            <w:proofErr w:type="spellEnd"/>
            <w:r w:rsidRPr="00641095">
              <w:rPr>
                <w:lang w:val="en-US"/>
              </w:rPr>
              <w:t xml:space="preserve"> min.: XXXXX </w:t>
            </w:r>
          </w:p>
          <w:p w:rsidR="00450C4B" w:rsidRPr="00641095" w:rsidRDefault="00450C4B" w:rsidP="00450C4B">
            <w:pPr>
              <w:ind w:firstLine="0"/>
            </w:pPr>
            <w:r w:rsidRPr="00641095">
              <w:t xml:space="preserve">Wymagane testy wydajnościowe wykonawca musi przeprowadzić na automatycznych ustawieniach konfiguratora dołączonego przez firmę UL </w:t>
            </w:r>
            <w:proofErr w:type="spellStart"/>
            <w:r w:rsidRPr="00641095">
              <w:t>Laboratory</w:t>
            </w:r>
            <w:proofErr w:type="spellEnd"/>
            <w:r w:rsidRPr="00641095">
              <w:t xml:space="preserve"> i przy natywnej rozdzielczości wyświetlacza oraz włączonych wszystkich urządzaniach. Nie dopuszcza się stosowanie </w:t>
            </w:r>
            <w:proofErr w:type="spellStart"/>
            <w:r w:rsidRPr="00641095">
              <w:t>overclokingu</w:t>
            </w:r>
            <w:proofErr w:type="spellEnd"/>
            <w:r w:rsidRPr="00641095">
              <w:t>, oprogramowania wspomagającego pochodzącego z innego źródła niż fabrycznie zainstalowane oprogramowanie przez producenta.</w:t>
            </w:r>
          </w:p>
          <w:p w:rsidR="002652A8" w:rsidRDefault="002652A8" w:rsidP="002652A8">
            <w:pPr>
              <w:ind w:firstLine="0"/>
            </w:pPr>
            <w:r w:rsidRPr="00641095">
              <w:t>Zamawiający zastrzega sobie, iż w celu sprawdzenia</w:t>
            </w:r>
            <w:r>
              <w:t xml:space="preserve"> poprawności przeprowadzonych wszystkich wymaganych testów Wykonawca musi dostarczyć Zamawiającemu oprogramowanie testujące, komputer </w:t>
            </w:r>
            <w:r w:rsidR="00450C4B" w:rsidRPr="00C84750">
              <w:t>w zaoferowanej konfiguracji zgodnej z wymaganiami opisu przedmiotu zamówienia</w:t>
            </w:r>
            <w:r w:rsidR="00450C4B">
              <w:t xml:space="preserve"> </w:t>
            </w:r>
            <w:r>
              <w:t xml:space="preserve">do testu oraz dokładny opis metodyki przeprowadzonego testu wraz z wynikami w celu ich sprawdzenia w </w:t>
            </w:r>
            <w:r w:rsidR="00450C4B" w:rsidRPr="00C84750">
              <w:t>stosown</w:t>
            </w:r>
            <w:r w:rsidR="00450C4B">
              <w:t>y</w:t>
            </w:r>
            <w:r w:rsidR="00450C4B" w:rsidRPr="00C84750">
              <w:t>m terminie wyznaczonym przez Zamawiającego od otrzymania zawiadomienia od Zamawiającego</w:t>
            </w:r>
            <w:r w:rsidR="00450C4B">
              <w:t>.</w:t>
            </w:r>
          </w:p>
        </w:tc>
      </w:tr>
      <w:tr w:rsidR="002652A8" w:rsidTr="002652A8">
        <w:tc>
          <w:tcPr>
            <w:tcW w:w="2547" w:type="dxa"/>
          </w:tcPr>
          <w:p w:rsidR="002652A8" w:rsidRPr="00641095" w:rsidRDefault="002652A8" w:rsidP="002652A8">
            <w:pPr>
              <w:ind w:firstLine="0"/>
              <w:rPr>
                <w:b/>
              </w:rPr>
            </w:pPr>
            <w:r w:rsidRPr="00641095">
              <w:rPr>
                <w:b/>
              </w:rPr>
              <w:lastRenderedPageBreak/>
              <w:t>Pamięć operacyjna</w:t>
            </w:r>
          </w:p>
        </w:tc>
        <w:tc>
          <w:tcPr>
            <w:tcW w:w="6515" w:type="dxa"/>
          </w:tcPr>
          <w:p w:rsidR="002652A8" w:rsidRDefault="002652A8" w:rsidP="002652A8">
            <w:pPr>
              <w:ind w:firstLine="0"/>
            </w:pPr>
            <w:r>
              <w:t>pojemność: min.  8 GB,</w:t>
            </w:r>
          </w:p>
          <w:p w:rsidR="002652A8" w:rsidRDefault="002652A8" w:rsidP="002652A8">
            <w:pPr>
              <w:ind w:firstLine="0"/>
            </w:pPr>
            <w:r>
              <w:t>maksymalna obsługiwana pojemność: min.  64GB,</w:t>
            </w:r>
          </w:p>
          <w:p w:rsidR="002652A8" w:rsidRDefault="002652A8" w:rsidP="002652A8">
            <w:pPr>
              <w:ind w:firstLine="0"/>
            </w:pPr>
            <w:r>
              <w:t>wolne złącza pamięci: min. 2</w:t>
            </w:r>
          </w:p>
        </w:tc>
      </w:tr>
      <w:tr w:rsidR="002652A8" w:rsidTr="002652A8">
        <w:tc>
          <w:tcPr>
            <w:tcW w:w="2547" w:type="dxa"/>
          </w:tcPr>
          <w:p w:rsidR="002652A8" w:rsidRPr="00641095" w:rsidRDefault="002652A8" w:rsidP="002652A8">
            <w:pPr>
              <w:ind w:firstLine="0"/>
              <w:rPr>
                <w:b/>
              </w:rPr>
            </w:pPr>
            <w:r w:rsidRPr="00641095">
              <w:rPr>
                <w:b/>
              </w:rPr>
              <w:t>Karta graficzna</w:t>
            </w:r>
          </w:p>
        </w:tc>
        <w:tc>
          <w:tcPr>
            <w:tcW w:w="6515" w:type="dxa"/>
          </w:tcPr>
          <w:p w:rsidR="002652A8" w:rsidRDefault="002652A8" w:rsidP="002652A8">
            <w:pPr>
              <w:ind w:firstLine="0"/>
            </w:pPr>
            <w:r>
              <w:t xml:space="preserve">Zintegrowana z procesorem z dynamicznie przydzielają pamięcią współdzieloną lub/i zewnętrzna karta graficzna z min.  </w:t>
            </w:r>
            <w:proofErr w:type="spellStart"/>
            <w:r>
              <w:t>xxxxx</w:t>
            </w:r>
            <w:proofErr w:type="spellEnd"/>
            <w:r>
              <w:t xml:space="preserve"> MB pamięci własnej niewspółdzielonej.</w:t>
            </w:r>
          </w:p>
        </w:tc>
      </w:tr>
      <w:tr w:rsidR="002652A8" w:rsidTr="002652A8">
        <w:tc>
          <w:tcPr>
            <w:tcW w:w="2547" w:type="dxa"/>
          </w:tcPr>
          <w:p w:rsidR="002652A8" w:rsidRPr="00641095" w:rsidRDefault="002652A8" w:rsidP="002652A8">
            <w:pPr>
              <w:ind w:firstLine="0"/>
              <w:rPr>
                <w:b/>
              </w:rPr>
            </w:pPr>
            <w:r w:rsidRPr="00641095">
              <w:rPr>
                <w:b/>
              </w:rPr>
              <w:t>Parametry pamięci masowej</w:t>
            </w:r>
          </w:p>
        </w:tc>
        <w:tc>
          <w:tcPr>
            <w:tcW w:w="6515" w:type="dxa"/>
          </w:tcPr>
          <w:p w:rsidR="002652A8" w:rsidRDefault="002652A8" w:rsidP="002652A8">
            <w:pPr>
              <w:ind w:firstLine="0"/>
            </w:pPr>
            <w:r>
              <w:t xml:space="preserve">Dysk półprzewodnikowy o pojemności </w:t>
            </w:r>
            <w:r w:rsidR="00450C4B">
              <w:t xml:space="preserve">min. </w:t>
            </w:r>
            <w:r>
              <w:t>128, 256, 512 GB</w:t>
            </w:r>
            <w:r w:rsidR="00450C4B">
              <w:t xml:space="preserve"> itp.</w:t>
            </w:r>
          </w:p>
          <w:p w:rsidR="002652A8" w:rsidRDefault="002652A8" w:rsidP="002652A8">
            <w:pPr>
              <w:ind w:firstLine="0"/>
            </w:pPr>
            <w:r>
              <w:t xml:space="preserve">Dysk talerzowy o pojemności </w:t>
            </w:r>
            <w:r w:rsidR="00450C4B">
              <w:t xml:space="preserve">min. 500 GB, </w:t>
            </w:r>
            <w:r>
              <w:t>1TB, 2TB, itp..</w:t>
            </w:r>
          </w:p>
        </w:tc>
      </w:tr>
      <w:tr w:rsidR="002652A8" w:rsidTr="002652A8">
        <w:tc>
          <w:tcPr>
            <w:tcW w:w="2547" w:type="dxa"/>
          </w:tcPr>
          <w:p w:rsidR="002652A8" w:rsidRPr="00641095" w:rsidRDefault="002652A8" w:rsidP="002652A8">
            <w:pPr>
              <w:ind w:firstLine="0"/>
              <w:rPr>
                <w:b/>
              </w:rPr>
            </w:pPr>
            <w:r w:rsidRPr="00641095">
              <w:rPr>
                <w:b/>
              </w:rPr>
              <w:t>Wyposażenie multimedialne</w:t>
            </w:r>
          </w:p>
        </w:tc>
        <w:tc>
          <w:tcPr>
            <w:tcW w:w="6515" w:type="dxa"/>
          </w:tcPr>
          <w:p w:rsidR="002652A8" w:rsidRDefault="002652A8" w:rsidP="002652A8">
            <w:pPr>
              <w:ind w:firstLine="0"/>
            </w:pPr>
            <w:r>
              <w:t>Płyta główna wyposażona w kartę dźwiękową</w:t>
            </w:r>
          </w:p>
          <w:p w:rsidR="002652A8" w:rsidRDefault="002652A8" w:rsidP="002652A8">
            <w:pPr>
              <w:ind w:firstLine="0"/>
            </w:pPr>
            <w:r>
              <w:t>Wbudowano głośnik mono</w:t>
            </w:r>
          </w:p>
        </w:tc>
      </w:tr>
      <w:tr w:rsidR="002652A8" w:rsidTr="002652A8">
        <w:tc>
          <w:tcPr>
            <w:tcW w:w="2547" w:type="dxa"/>
          </w:tcPr>
          <w:p w:rsidR="002652A8" w:rsidRPr="00641095" w:rsidRDefault="002652A8" w:rsidP="002652A8">
            <w:pPr>
              <w:ind w:firstLine="0"/>
              <w:rPr>
                <w:b/>
              </w:rPr>
            </w:pPr>
            <w:r w:rsidRPr="00641095">
              <w:rPr>
                <w:b/>
              </w:rPr>
              <w:lastRenderedPageBreak/>
              <w:t>Wymagania dotyczące baterii/zasilania (dot. komputerów przenośnych)</w:t>
            </w:r>
          </w:p>
        </w:tc>
        <w:tc>
          <w:tcPr>
            <w:tcW w:w="6515" w:type="dxa"/>
          </w:tcPr>
          <w:p w:rsidR="00450C4B" w:rsidRPr="00641095" w:rsidRDefault="00450C4B" w:rsidP="00450C4B">
            <w:pPr>
              <w:ind w:firstLine="0"/>
            </w:pPr>
            <w:r w:rsidRPr="00641095">
              <w:t>Komputer powinien osiągać:</w:t>
            </w:r>
          </w:p>
          <w:p w:rsidR="00450C4B" w:rsidRPr="00641095" w:rsidRDefault="00450C4B" w:rsidP="00450C4B">
            <w:pPr>
              <w:ind w:firstLine="0"/>
            </w:pPr>
            <w:r w:rsidRPr="00641095">
              <w:t>- w teście BAPCO wynik:</w:t>
            </w:r>
          </w:p>
          <w:p w:rsidR="00450C4B" w:rsidRPr="00641095" w:rsidRDefault="00450C4B" w:rsidP="00450C4B">
            <w:pPr>
              <w:ind w:firstLine="0"/>
            </w:pPr>
            <w:proofErr w:type="spellStart"/>
            <w:r w:rsidRPr="00641095">
              <w:t>MobileMark</w:t>
            </w:r>
            <w:proofErr w:type="spellEnd"/>
            <w:r w:rsidRPr="00641095">
              <w:t xml:space="preserve"> 2018 Battery Life Rating na poziomie min.: XXXX dla wyniku YYYY Performance </w:t>
            </w:r>
            <w:proofErr w:type="spellStart"/>
            <w:r w:rsidRPr="00641095">
              <w:t>Qualifications</w:t>
            </w:r>
            <w:proofErr w:type="spellEnd"/>
          </w:p>
          <w:p w:rsidR="00450C4B" w:rsidRPr="00641095" w:rsidRDefault="00450C4B" w:rsidP="00450C4B">
            <w:pPr>
              <w:ind w:firstLine="0"/>
            </w:pPr>
            <w:r w:rsidRPr="00641095">
              <w:t>- w teście PC Mark 10 wynik:</w:t>
            </w:r>
          </w:p>
          <w:p w:rsidR="00450C4B" w:rsidRPr="00641095" w:rsidRDefault="00450C4B" w:rsidP="00450C4B">
            <w:pPr>
              <w:ind w:firstLine="0"/>
            </w:pPr>
            <w:proofErr w:type="spellStart"/>
            <w:r w:rsidRPr="00641095">
              <w:t>PCMark</w:t>
            </w:r>
            <w:proofErr w:type="spellEnd"/>
            <w:r w:rsidRPr="00641095">
              <w:t xml:space="preserve"> 10 Modern Office Battery Life na poziomie min.: XXXX</w:t>
            </w:r>
          </w:p>
          <w:p w:rsidR="002652A8" w:rsidRPr="00641095" w:rsidRDefault="00450C4B" w:rsidP="00450C4B">
            <w:pPr>
              <w:ind w:firstLine="0"/>
            </w:pPr>
            <w:r w:rsidRPr="00641095">
              <w:t xml:space="preserve">Testy czasu pracy na baterii należy przeprowadzić przy jednakowych ustawieniach Trybu zasilania systemu operacyjnego w testowanych komputerach. </w:t>
            </w:r>
            <w:proofErr w:type="spellStart"/>
            <w:r w:rsidRPr="00641095">
              <w:rPr>
                <w:lang w:val="en-US"/>
              </w:rPr>
              <w:t>Rekomendujemy</w:t>
            </w:r>
            <w:proofErr w:type="spellEnd"/>
            <w:r w:rsidRPr="00641095">
              <w:rPr>
                <w:lang w:val="en-US"/>
              </w:rPr>
              <w:t xml:space="preserve"> </w:t>
            </w:r>
            <w:proofErr w:type="spellStart"/>
            <w:r w:rsidRPr="00641095">
              <w:rPr>
                <w:lang w:val="en-US"/>
              </w:rPr>
              <w:t>ustawienie</w:t>
            </w:r>
            <w:proofErr w:type="spellEnd"/>
            <w:r w:rsidRPr="00641095">
              <w:rPr>
                <w:lang w:val="en-US"/>
              </w:rPr>
              <w:t xml:space="preserve"> </w:t>
            </w:r>
            <w:proofErr w:type="spellStart"/>
            <w:r w:rsidRPr="00641095">
              <w:rPr>
                <w:lang w:val="en-US"/>
              </w:rPr>
              <w:t>Trybu</w:t>
            </w:r>
            <w:proofErr w:type="spellEnd"/>
            <w:r w:rsidRPr="00641095">
              <w:rPr>
                <w:lang w:val="en-US"/>
              </w:rPr>
              <w:t xml:space="preserve"> </w:t>
            </w:r>
            <w:proofErr w:type="spellStart"/>
            <w:r w:rsidRPr="00641095">
              <w:rPr>
                <w:lang w:val="en-US"/>
              </w:rPr>
              <w:t>zasilania</w:t>
            </w:r>
            <w:proofErr w:type="spellEnd"/>
            <w:r w:rsidRPr="00641095">
              <w:rPr>
                <w:lang w:val="en-US"/>
              </w:rPr>
              <w:t xml:space="preserve"> </w:t>
            </w:r>
            <w:proofErr w:type="spellStart"/>
            <w:r w:rsidRPr="00641095">
              <w:rPr>
                <w:lang w:val="en-US"/>
              </w:rPr>
              <w:t>Większa</w:t>
            </w:r>
            <w:proofErr w:type="spellEnd"/>
            <w:r w:rsidRPr="00641095">
              <w:rPr>
                <w:lang w:val="en-US"/>
              </w:rPr>
              <w:t xml:space="preserve"> </w:t>
            </w:r>
            <w:proofErr w:type="spellStart"/>
            <w:r w:rsidRPr="00641095">
              <w:rPr>
                <w:lang w:val="en-US"/>
              </w:rPr>
              <w:t>wydajność</w:t>
            </w:r>
            <w:proofErr w:type="spellEnd"/>
            <w:r w:rsidRPr="00641095">
              <w:rPr>
                <w:lang w:val="en-US"/>
              </w:rPr>
              <w:t>.</w:t>
            </w:r>
          </w:p>
        </w:tc>
      </w:tr>
      <w:tr w:rsidR="002652A8" w:rsidTr="002652A8">
        <w:tc>
          <w:tcPr>
            <w:tcW w:w="2547" w:type="dxa"/>
          </w:tcPr>
          <w:p w:rsidR="002652A8" w:rsidRPr="00641095" w:rsidRDefault="002652A8" w:rsidP="002652A8">
            <w:pPr>
              <w:ind w:firstLine="0"/>
              <w:rPr>
                <w:b/>
              </w:rPr>
            </w:pPr>
            <w:r w:rsidRPr="00641095">
              <w:rPr>
                <w:b/>
              </w:rPr>
              <w:t>Waga (dot. komputerów przenośnych)</w:t>
            </w:r>
          </w:p>
        </w:tc>
        <w:tc>
          <w:tcPr>
            <w:tcW w:w="6515" w:type="dxa"/>
          </w:tcPr>
          <w:p w:rsidR="002652A8" w:rsidRDefault="002652A8" w:rsidP="002652A8">
            <w:pPr>
              <w:ind w:firstLine="0"/>
            </w:pPr>
            <w:r>
              <w:t>Nie dotyczy</w:t>
            </w:r>
          </w:p>
        </w:tc>
      </w:tr>
      <w:tr w:rsidR="002652A8" w:rsidTr="002652A8">
        <w:tc>
          <w:tcPr>
            <w:tcW w:w="2547" w:type="dxa"/>
          </w:tcPr>
          <w:p w:rsidR="002652A8" w:rsidRPr="00641095" w:rsidRDefault="002652A8" w:rsidP="002652A8">
            <w:pPr>
              <w:ind w:firstLine="0"/>
              <w:rPr>
                <w:b/>
              </w:rPr>
            </w:pPr>
            <w:r w:rsidRPr="00641095">
              <w:rPr>
                <w:b/>
              </w:rPr>
              <w:t>Ergonomia</w:t>
            </w:r>
          </w:p>
        </w:tc>
        <w:tc>
          <w:tcPr>
            <w:tcW w:w="6515" w:type="dxa"/>
          </w:tcPr>
          <w:p w:rsidR="002652A8" w:rsidRDefault="002652A8" w:rsidP="002652A8">
            <w:pPr>
              <w:ind w:firstLine="0"/>
            </w:pPr>
            <w:r>
              <w:t>Głośność przy maksymalnym obciążeniu nie powinna przekraczać 22dB, mierzona zgodnie z normą ISO 7779 oraz wykazana zgodnie z normą ISO 9296 w pozycji obserwatora w trybie pracy dysku twardego (IDLE).</w:t>
            </w:r>
          </w:p>
        </w:tc>
      </w:tr>
      <w:tr w:rsidR="002652A8" w:rsidTr="002652A8">
        <w:tc>
          <w:tcPr>
            <w:tcW w:w="2547" w:type="dxa"/>
          </w:tcPr>
          <w:p w:rsidR="002652A8" w:rsidRPr="00641095" w:rsidRDefault="002652A8" w:rsidP="002652A8">
            <w:pPr>
              <w:ind w:firstLine="0"/>
              <w:rPr>
                <w:b/>
              </w:rPr>
            </w:pPr>
            <w:r w:rsidRPr="00641095">
              <w:rPr>
                <w:b/>
              </w:rPr>
              <w:t>Niezawodność / jakość wytwarzania</w:t>
            </w:r>
          </w:p>
        </w:tc>
        <w:tc>
          <w:tcPr>
            <w:tcW w:w="6515" w:type="dxa"/>
          </w:tcPr>
          <w:p w:rsidR="002652A8" w:rsidRDefault="002652A8" w:rsidP="002652A8">
            <w:pPr>
              <w:ind w:firstLine="0"/>
            </w:pPr>
            <w:r>
              <w:t xml:space="preserve">Potwierdzona certyfikatami: </w:t>
            </w:r>
          </w:p>
          <w:p w:rsidR="002652A8" w:rsidRDefault="002652A8" w:rsidP="002652A8">
            <w:pPr>
              <w:ind w:firstLine="0"/>
            </w:pPr>
            <w:r>
              <w:t>Certyfikat CE</w:t>
            </w:r>
          </w:p>
          <w:p w:rsidR="002652A8" w:rsidRDefault="002652A8" w:rsidP="002652A8">
            <w:pPr>
              <w:ind w:firstLine="0"/>
            </w:pPr>
            <w:r>
              <w:t>ISO 14001</w:t>
            </w:r>
          </w:p>
          <w:p w:rsidR="002652A8" w:rsidRDefault="002652A8" w:rsidP="002652A8">
            <w:pPr>
              <w:ind w:firstLine="0"/>
            </w:pPr>
            <w:r>
              <w:t>ISO 9001</w:t>
            </w:r>
          </w:p>
          <w:p w:rsidR="002652A8" w:rsidRDefault="002652A8" w:rsidP="002652A8">
            <w:pPr>
              <w:ind w:firstLine="0"/>
            </w:pPr>
          </w:p>
        </w:tc>
      </w:tr>
      <w:tr w:rsidR="002652A8" w:rsidTr="002652A8">
        <w:tc>
          <w:tcPr>
            <w:tcW w:w="2547" w:type="dxa"/>
          </w:tcPr>
          <w:p w:rsidR="002652A8" w:rsidRPr="00641095" w:rsidRDefault="002652A8" w:rsidP="002652A8">
            <w:pPr>
              <w:ind w:firstLine="0"/>
              <w:rPr>
                <w:b/>
              </w:rPr>
            </w:pPr>
            <w:r w:rsidRPr="00641095">
              <w:rPr>
                <w:b/>
              </w:rPr>
              <w:t>Warunki gwarancji</w:t>
            </w:r>
          </w:p>
        </w:tc>
        <w:tc>
          <w:tcPr>
            <w:tcW w:w="6515" w:type="dxa"/>
          </w:tcPr>
          <w:p w:rsidR="002652A8" w:rsidRDefault="002652A8" w:rsidP="002652A8">
            <w:pPr>
              <w:ind w:firstLine="0"/>
            </w:pPr>
            <w:r>
              <w:t xml:space="preserve">3  lata  od  daty  dostawy  w  miejscu  instalacji  komputera. Usunięcie awarii - następny dzień roboczy po otrzymaniu zgłoszenia (przyjmowanie zgłoszeń w dni robocze w godzinach 8.00-16.00 telefonicznie), w przypadku  braku  możliwości  naprawy w w/w terminie podstawienie sprzętu zastępczego o </w:t>
            </w:r>
            <w:proofErr w:type="spellStart"/>
            <w:r>
              <w:t>niegorszych</w:t>
            </w:r>
            <w:proofErr w:type="spellEnd"/>
            <w:r>
              <w:t xml:space="preserve"> parametrach technicznych.</w:t>
            </w:r>
          </w:p>
          <w:p w:rsidR="004D3647" w:rsidRDefault="002652A8" w:rsidP="002652A8">
            <w:pPr>
              <w:ind w:firstLine="0"/>
            </w:pPr>
            <w:r>
              <w:lastRenderedPageBreak/>
              <w:t>W przypadku awarii dysków twardych w okresie gwarancji,</w:t>
            </w:r>
            <w:r w:rsidR="004D3647">
              <w:t xml:space="preserve"> dyski  pozostają </w:t>
            </w:r>
            <w:r>
              <w:t>u</w:t>
            </w:r>
            <w:r w:rsidR="004D3647">
              <w:t xml:space="preserve"> Zamawiającego – wymagane</w:t>
            </w:r>
            <w:r>
              <w:t xml:space="preserve"> jest</w:t>
            </w:r>
            <w:r w:rsidR="004D3647">
              <w:t xml:space="preserve"> </w:t>
            </w:r>
            <w:r>
              <w:t>dołączenie do oferty oświadczenia podmiotu realizującego</w:t>
            </w:r>
            <w:r w:rsidR="004D3647">
              <w:t xml:space="preserve"> </w:t>
            </w:r>
            <w:r>
              <w:t>serwis tub producenta sprzętu o spełnieniu tego warunku.</w:t>
            </w:r>
            <w:r w:rsidR="004D3647">
              <w:t xml:space="preserve"> </w:t>
            </w:r>
          </w:p>
          <w:p w:rsidR="004D3647" w:rsidRDefault="002652A8" w:rsidP="002652A8">
            <w:pPr>
              <w:ind w:firstLine="0"/>
            </w:pPr>
            <w:r>
              <w:t>Serwis urządzeń musi b</w:t>
            </w:r>
            <w:r w:rsidR="004D3647">
              <w:t xml:space="preserve">yś realizowany przez producenta </w:t>
            </w:r>
            <w:r>
              <w:t>lub autoryzowanego partnera serwis</w:t>
            </w:r>
            <w:r w:rsidR="004D3647">
              <w:t xml:space="preserve">owego producenta – </w:t>
            </w:r>
            <w:r>
              <w:t>wymagane</w:t>
            </w:r>
            <w:r w:rsidR="004D3647">
              <w:t xml:space="preserve"> </w:t>
            </w:r>
            <w:r>
              <w:t>oświadc</w:t>
            </w:r>
            <w:r w:rsidR="004D3647">
              <w:t xml:space="preserve">zenie Wykonawcy potwierdzające, </w:t>
            </w:r>
            <w:r>
              <w:t>że serwis</w:t>
            </w:r>
            <w:r w:rsidR="004D3647">
              <w:t xml:space="preserve"> będzie realizowany </w:t>
            </w:r>
            <w:r>
              <w:t>przez</w:t>
            </w:r>
            <w:r w:rsidR="004D3647">
              <w:t xml:space="preserve"> </w:t>
            </w:r>
            <w:r>
              <w:t>Producenta</w:t>
            </w:r>
            <w:r w:rsidR="004D3647">
              <w:t xml:space="preserve"> lub autoryzowanego partnera serwisowego </w:t>
            </w:r>
            <w:r>
              <w:t>producenta</w:t>
            </w:r>
            <w:r w:rsidR="004D3647">
              <w:t xml:space="preserve"> (należy dołączyć do oferty).</w:t>
            </w:r>
          </w:p>
          <w:p w:rsidR="002652A8" w:rsidRDefault="004D3647" w:rsidP="004D3647">
            <w:pPr>
              <w:ind w:firstLine="0"/>
            </w:pPr>
            <w:r>
              <w:t>S</w:t>
            </w:r>
            <w:r w:rsidR="002652A8">
              <w:t>erwis</w:t>
            </w:r>
            <w:r w:rsidR="002652A8">
              <w:tab/>
              <w:t>urządzeń</w:t>
            </w:r>
            <w:r>
              <w:t xml:space="preserve"> musi być realizowany zgodnie z wymaganiami normy ISO 9001 – do oferty należy dołączyć dokument potwierdzający, że serwis </w:t>
            </w:r>
            <w:r w:rsidR="002652A8">
              <w:t>urządzeń</w:t>
            </w:r>
            <w:r>
              <w:t xml:space="preserve"> </w:t>
            </w:r>
            <w:r w:rsidR="002652A8">
              <w:t xml:space="preserve">będzie </w:t>
            </w:r>
            <w:r>
              <w:t>realizowany zgodnie z tą normą.</w:t>
            </w:r>
          </w:p>
        </w:tc>
      </w:tr>
      <w:tr w:rsidR="002652A8" w:rsidTr="002652A8">
        <w:tc>
          <w:tcPr>
            <w:tcW w:w="2547" w:type="dxa"/>
          </w:tcPr>
          <w:p w:rsidR="002652A8" w:rsidRPr="00641095" w:rsidRDefault="00BC6391" w:rsidP="002652A8">
            <w:pPr>
              <w:ind w:firstLine="0"/>
              <w:rPr>
                <w:b/>
              </w:rPr>
            </w:pPr>
            <w:r w:rsidRPr="00641095">
              <w:rPr>
                <w:b/>
              </w:rPr>
              <w:lastRenderedPageBreak/>
              <w:t>Wsparcie techniczne</w:t>
            </w:r>
          </w:p>
        </w:tc>
        <w:tc>
          <w:tcPr>
            <w:tcW w:w="6515" w:type="dxa"/>
          </w:tcPr>
          <w:p w:rsidR="002652A8" w:rsidRDefault="00BC6391" w:rsidP="00BC6391">
            <w:pPr>
              <w:ind w:firstLine="0"/>
            </w:pPr>
            <w:r>
              <w:t xml:space="preserve">Dostęp do aktualnych sterowników zainstalowanych w komputerze urządzeń, realizowany poprzez podanie identyfikatora </w:t>
            </w:r>
            <w:proofErr w:type="spellStart"/>
            <w:r>
              <w:t>klieta</w:t>
            </w:r>
            <w:proofErr w:type="spellEnd"/>
            <w:r>
              <w:t xml:space="preserve"> lub modelu komputera lub numeru seryjnego komputera, na dedykowanej przez producenta stronie internetowej – należy podać adres strony oraz sposób realizacji wymagania (opis uzyskania w/w informacji)</w:t>
            </w:r>
          </w:p>
        </w:tc>
      </w:tr>
      <w:tr w:rsidR="002652A8" w:rsidTr="002652A8">
        <w:tc>
          <w:tcPr>
            <w:tcW w:w="2547" w:type="dxa"/>
          </w:tcPr>
          <w:p w:rsidR="002652A8" w:rsidRPr="00641095" w:rsidRDefault="00BC6391" w:rsidP="002652A8">
            <w:pPr>
              <w:ind w:firstLine="0"/>
              <w:rPr>
                <w:b/>
              </w:rPr>
            </w:pPr>
            <w:r w:rsidRPr="00641095">
              <w:rPr>
                <w:b/>
              </w:rPr>
              <w:t>Wymagania dodatkowe</w:t>
            </w:r>
          </w:p>
        </w:tc>
        <w:tc>
          <w:tcPr>
            <w:tcW w:w="6515" w:type="dxa"/>
          </w:tcPr>
          <w:p w:rsidR="00BC6391" w:rsidRDefault="00BC6391" w:rsidP="00BC6391">
            <w:pPr>
              <w:ind w:firstLine="0"/>
            </w:pPr>
            <w:r>
              <w:t>1. 6 gniazd USB, w tym 2 wyprowadzone na przedzie obudowy w układzie 1xUSB 3.1. typ A i 1x USB 3.1 typ C</w:t>
            </w:r>
          </w:p>
          <w:p w:rsidR="00BC6391" w:rsidRDefault="00BC6391" w:rsidP="00BC6391">
            <w:pPr>
              <w:ind w:firstLine="0"/>
            </w:pPr>
            <w:r>
              <w:t>2.  złącza cyfrowe wideo zgodne z zaoferowanym monitorem,</w:t>
            </w:r>
          </w:p>
          <w:p w:rsidR="00BC6391" w:rsidRDefault="00BC6391" w:rsidP="00BC6391">
            <w:pPr>
              <w:ind w:firstLine="0"/>
            </w:pPr>
            <w:r>
              <w:t xml:space="preserve">3.  gniazda  słuchawek  i  mikrofonu  wyprowadzone  na przedni panel obudowy lub port </w:t>
            </w:r>
            <w:proofErr w:type="spellStart"/>
            <w:r>
              <w:t>combo</w:t>
            </w:r>
            <w:proofErr w:type="spellEnd"/>
          </w:p>
          <w:p w:rsidR="00BC6391" w:rsidRDefault="00BC6391" w:rsidP="00BC6391">
            <w:pPr>
              <w:ind w:firstLine="0"/>
            </w:pPr>
            <w:r>
              <w:t>4. gniazdo Gigabit Ethernet</w:t>
            </w:r>
            <w:r>
              <w:tab/>
            </w:r>
            <w:r>
              <w:tab/>
            </w:r>
            <w:r>
              <w:tab/>
            </w:r>
            <w:r>
              <w:tab/>
            </w:r>
            <w:r>
              <w:tab/>
            </w:r>
          </w:p>
          <w:p w:rsidR="00BC6391" w:rsidRDefault="00BC6391" w:rsidP="00BC6391">
            <w:pPr>
              <w:ind w:firstLine="0"/>
            </w:pPr>
            <w:r>
              <w:t>5.</w:t>
            </w:r>
            <w:r>
              <w:tab/>
              <w:t>Nagrywarka DVD+/-R</w:t>
            </w:r>
            <w:r>
              <w:tab/>
            </w:r>
            <w:r>
              <w:tab/>
            </w:r>
            <w:r>
              <w:tab/>
            </w:r>
            <w:r>
              <w:tab/>
            </w:r>
          </w:p>
          <w:p w:rsidR="00BC6391" w:rsidRDefault="00BC6391" w:rsidP="00BC6391">
            <w:pPr>
              <w:ind w:firstLine="0"/>
            </w:pPr>
            <w:r>
              <w:t>Zainstalowane:</w:t>
            </w:r>
          </w:p>
          <w:p w:rsidR="00BC6391" w:rsidRDefault="00BC6391" w:rsidP="00BC6391">
            <w:pPr>
              <w:pStyle w:val="Akapitzlist"/>
              <w:numPr>
                <w:ilvl w:val="0"/>
                <w:numId w:val="12"/>
              </w:numPr>
            </w:pPr>
            <w:r>
              <w:t>System operacyjny,</w:t>
            </w:r>
          </w:p>
          <w:p w:rsidR="00BC6391" w:rsidRDefault="00BC6391" w:rsidP="00BC6391">
            <w:pPr>
              <w:pStyle w:val="Akapitzlist"/>
              <w:numPr>
                <w:ilvl w:val="0"/>
                <w:numId w:val="12"/>
              </w:numPr>
            </w:pPr>
            <w:r>
              <w:t>Pakiet biurowy</w:t>
            </w:r>
          </w:p>
          <w:p w:rsidR="002652A8" w:rsidRDefault="00BC6391" w:rsidP="00D573E3">
            <w:pPr>
              <w:ind w:firstLine="0"/>
            </w:pPr>
            <w:r>
              <w:lastRenderedPageBreak/>
              <w:t>Komputer musi być wyposażony w zabezpieczenie sprzętowe umożliwiające zabezpieczenie haseł użytkowników, administratora oraz danych użytkownika. Zabezpieczenie ma składać się z dedykowanego urządzenia szyfrującego (współpracującego z płytą główną)</w:t>
            </w:r>
            <w:r w:rsidR="00D573E3">
              <w:t>, którego usunięcie uniemożliwi uruchomienie komputera, a odczyt zabezpieczonych danych z dysku twardego nie będzie możliwy na innym komputerze</w:t>
            </w:r>
          </w:p>
          <w:p w:rsidR="00D573E3" w:rsidRDefault="00D573E3" w:rsidP="00D573E3">
            <w:pPr>
              <w:ind w:firstLine="0"/>
            </w:pPr>
            <w:r>
              <w:t>Mysz optyczna USB 800 DPI,</w:t>
            </w:r>
          </w:p>
          <w:p w:rsidR="00D573E3" w:rsidRDefault="00D573E3" w:rsidP="00D573E3">
            <w:pPr>
              <w:ind w:firstLine="0"/>
            </w:pPr>
            <w:r>
              <w:t>Klawiatura USB (układ polski programisty)</w:t>
            </w:r>
          </w:p>
        </w:tc>
      </w:tr>
    </w:tbl>
    <w:p w:rsidR="002652A8" w:rsidRDefault="002652A8" w:rsidP="002652A8"/>
    <w:p w:rsidR="00D573E3" w:rsidRDefault="00D573E3" w:rsidP="00D573E3">
      <w:pPr>
        <w:pStyle w:val="Nagwek4"/>
      </w:pPr>
      <w:r>
        <w:t>Specyfikacja monitora ciekłokrystalicznego</w:t>
      </w:r>
    </w:p>
    <w:tbl>
      <w:tblPr>
        <w:tblStyle w:val="Tabela-Siatka"/>
        <w:tblW w:w="0" w:type="auto"/>
        <w:tblLook w:val="04A0" w:firstRow="1" w:lastRow="0" w:firstColumn="1" w:lastColumn="0" w:noHBand="0" w:noVBand="1"/>
      </w:tblPr>
      <w:tblGrid>
        <w:gridCol w:w="2547"/>
        <w:gridCol w:w="6515"/>
      </w:tblGrid>
      <w:tr w:rsidR="00D573E3" w:rsidTr="00D573E3">
        <w:tc>
          <w:tcPr>
            <w:tcW w:w="2547" w:type="dxa"/>
          </w:tcPr>
          <w:p w:rsidR="00D573E3" w:rsidRPr="00D573E3" w:rsidRDefault="00D501D3" w:rsidP="00D573E3">
            <w:pPr>
              <w:ind w:firstLine="0"/>
              <w:jc w:val="center"/>
              <w:rPr>
                <w:i/>
              </w:rPr>
            </w:pPr>
            <w:r>
              <w:rPr>
                <w:i/>
              </w:rPr>
              <w:t>Atrybut</w:t>
            </w:r>
          </w:p>
        </w:tc>
        <w:tc>
          <w:tcPr>
            <w:tcW w:w="6515" w:type="dxa"/>
          </w:tcPr>
          <w:p w:rsidR="00D573E3" w:rsidRPr="00D573E3" w:rsidRDefault="00D501D3" w:rsidP="00D573E3">
            <w:pPr>
              <w:ind w:firstLine="0"/>
              <w:jc w:val="center"/>
              <w:rPr>
                <w:i/>
              </w:rPr>
            </w:pPr>
            <w:r>
              <w:rPr>
                <w:i/>
              </w:rPr>
              <w:t>Sposób określenia</w:t>
            </w:r>
          </w:p>
        </w:tc>
      </w:tr>
      <w:tr w:rsidR="00D573E3" w:rsidRPr="007825F7" w:rsidTr="00D573E3">
        <w:tc>
          <w:tcPr>
            <w:tcW w:w="2547" w:type="dxa"/>
          </w:tcPr>
          <w:p w:rsidR="00D573E3" w:rsidRDefault="00D501D3" w:rsidP="00D573E3">
            <w:pPr>
              <w:ind w:firstLine="0"/>
            </w:pPr>
            <w:r>
              <w:t>Typ wyświetlacza</w:t>
            </w:r>
          </w:p>
        </w:tc>
        <w:tc>
          <w:tcPr>
            <w:tcW w:w="6515" w:type="dxa"/>
          </w:tcPr>
          <w:p w:rsidR="00D573E3" w:rsidRPr="00A6183F" w:rsidRDefault="00C04514" w:rsidP="00D573E3">
            <w:pPr>
              <w:ind w:firstLine="0"/>
              <w:rPr>
                <w:lang w:val="en-US"/>
              </w:rPr>
            </w:pPr>
            <w:r w:rsidRPr="00A6183F">
              <w:rPr>
                <w:lang w:val="en-US"/>
              </w:rPr>
              <w:t>IPS, PLS, VA, TN,  LCD</w:t>
            </w:r>
          </w:p>
        </w:tc>
      </w:tr>
      <w:tr w:rsidR="00D573E3" w:rsidTr="00D573E3">
        <w:tc>
          <w:tcPr>
            <w:tcW w:w="2547" w:type="dxa"/>
          </w:tcPr>
          <w:p w:rsidR="00D573E3" w:rsidRDefault="00D501D3" w:rsidP="00D573E3">
            <w:pPr>
              <w:ind w:firstLine="0"/>
            </w:pPr>
            <w:r>
              <w:t>Obszar aktywny</w:t>
            </w:r>
          </w:p>
        </w:tc>
        <w:tc>
          <w:tcPr>
            <w:tcW w:w="6515" w:type="dxa"/>
          </w:tcPr>
          <w:p w:rsidR="00D573E3" w:rsidRDefault="00D501D3" w:rsidP="00D573E3">
            <w:pPr>
              <w:ind w:firstLine="0"/>
            </w:pPr>
            <w:r>
              <w:t>Przynajmniej 19”</w:t>
            </w:r>
          </w:p>
        </w:tc>
      </w:tr>
      <w:tr w:rsidR="00D573E3" w:rsidTr="00D573E3">
        <w:tc>
          <w:tcPr>
            <w:tcW w:w="2547" w:type="dxa"/>
          </w:tcPr>
          <w:p w:rsidR="00D573E3" w:rsidRDefault="00D501D3" w:rsidP="00D573E3">
            <w:pPr>
              <w:ind w:firstLine="0"/>
            </w:pPr>
            <w:r>
              <w:t>Kontrast typowy</w:t>
            </w:r>
          </w:p>
        </w:tc>
        <w:tc>
          <w:tcPr>
            <w:tcW w:w="6515" w:type="dxa"/>
          </w:tcPr>
          <w:p w:rsidR="00D573E3" w:rsidRDefault="00D501D3" w:rsidP="00D573E3">
            <w:pPr>
              <w:ind w:firstLine="0"/>
            </w:pPr>
            <w:r>
              <w:t>Przynajmniej 1000:1</w:t>
            </w:r>
          </w:p>
        </w:tc>
      </w:tr>
      <w:tr w:rsidR="00D573E3" w:rsidTr="00D573E3">
        <w:tc>
          <w:tcPr>
            <w:tcW w:w="2547" w:type="dxa"/>
          </w:tcPr>
          <w:p w:rsidR="00D573E3" w:rsidRDefault="00D501D3" w:rsidP="00D573E3">
            <w:pPr>
              <w:ind w:firstLine="0"/>
            </w:pPr>
            <w:r>
              <w:t>Jasność</w:t>
            </w:r>
          </w:p>
        </w:tc>
        <w:tc>
          <w:tcPr>
            <w:tcW w:w="6515" w:type="dxa"/>
          </w:tcPr>
          <w:p w:rsidR="00D573E3" w:rsidRDefault="00D501D3" w:rsidP="00D573E3">
            <w:pPr>
              <w:ind w:firstLine="0"/>
            </w:pPr>
            <w:r>
              <w:t>Przynajmniej 250</w:t>
            </w:r>
          </w:p>
        </w:tc>
      </w:tr>
      <w:tr w:rsidR="00D573E3" w:rsidTr="00D573E3">
        <w:tc>
          <w:tcPr>
            <w:tcW w:w="2547" w:type="dxa"/>
          </w:tcPr>
          <w:p w:rsidR="00D573E3" w:rsidRDefault="00D501D3" w:rsidP="00D573E3">
            <w:pPr>
              <w:ind w:firstLine="0"/>
            </w:pPr>
            <w:r>
              <w:t>Czas reakcji</w:t>
            </w:r>
          </w:p>
        </w:tc>
        <w:tc>
          <w:tcPr>
            <w:tcW w:w="6515" w:type="dxa"/>
          </w:tcPr>
          <w:p w:rsidR="00D573E3" w:rsidRDefault="00D501D3" w:rsidP="00D573E3">
            <w:pPr>
              <w:ind w:firstLine="0"/>
            </w:pPr>
            <w:r>
              <w:t>Max 8ms</w:t>
            </w:r>
          </w:p>
        </w:tc>
      </w:tr>
      <w:tr w:rsidR="00D573E3" w:rsidTr="00D573E3">
        <w:tc>
          <w:tcPr>
            <w:tcW w:w="2547" w:type="dxa"/>
          </w:tcPr>
          <w:p w:rsidR="00D573E3" w:rsidRDefault="00D501D3" w:rsidP="00D573E3">
            <w:pPr>
              <w:ind w:firstLine="0"/>
            </w:pPr>
            <w:r>
              <w:t>Rozdzielczość podstawowa:</w:t>
            </w:r>
          </w:p>
        </w:tc>
        <w:tc>
          <w:tcPr>
            <w:tcW w:w="6515" w:type="dxa"/>
          </w:tcPr>
          <w:p w:rsidR="00D573E3" w:rsidRDefault="00D501D3" w:rsidP="00D573E3">
            <w:pPr>
              <w:ind w:firstLine="0"/>
            </w:pPr>
            <w:r w:rsidRPr="00D501D3">
              <w:t>min. 1920x1080 60Hz</w:t>
            </w:r>
          </w:p>
        </w:tc>
      </w:tr>
      <w:tr w:rsidR="00D573E3" w:rsidTr="00D573E3">
        <w:tc>
          <w:tcPr>
            <w:tcW w:w="2547" w:type="dxa"/>
          </w:tcPr>
          <w:p w:rsidR="00D573E3" w:rsidRDefault="00D501D3" w:rsidP="00D573E3">
            <w:pPr>
              <w:ind w:firstLine="0"/>
            </w:pPr>
            <w:r>
              <w:t>Certyfikaty i standardy</w:t>
            </w:r>
          </w:p>
        </w:tc>
        <w:tc>
          <w:tcPr>
            <w:tcW w:w="6515" w:type="dxa"/>
          </w:tcPr>
          <w:p w:rsidR="00D501D3" w:rsidRDefault="00D501D3" w:rsidP="00D501D3">
            <w:pPr>
              <w:ind w:firstLine="0"/>
            </w:pPr>
            <w:r>
              <w:t>Certyfikat CE</w:t>
            </w:r>
          </w:p>
          <w:p w:rsidR="00D501D3" w:rsidRDefault="00D501D3" w:rsidP="00D501D3">
            <w:pPr>
              <w:ind w:firstLine="0"/>
            </w:pPr>
            <w:r>
              <w:t>ISO 14001</w:t>
            </w:r>
          </w:p>
          <w:p w:rsidR="00D573E3" w:rsidRDefault="00D501D3" w:rsidP="00D501D3">
            <w:pPr>
              <w:ind w:firstLine="0"/>
            </w:pPr>
            <w:r>
              <w:t>ISO 9001</w:t>
            </w:r>
          </w:p>
        </w:tc>
      </w:tr>
      <w:tr w:rsidR="00D501D3" w:rsidTr="00D573E3">
        <w:tc>
          <w:tcPr>
            <w:tcW w:w="2547" w:type="dxa"/>
          </w:tcPr>
          <w:p w:rsidR="00D501D3" w:rsidRDefault="00D501D3" w:rsidP="00D573E3">
            <w:pPr>
              <w:ind w:firstLine="0"/>
            </w:pPr>
            <w:r>
              <w:t>Inne</w:t>
            </w:r>
          </w:p>
        </w:tc>
        <w:tc>
          <w:tcPr>
            <w:tcW w:w="6515" w:type="dxa"/>
          </w:tcPr>
          <w:p w:rsidR="00D501D3" w:rsidRDefault="00D501D3" w:rsidP="00D501D3">
            <w:pPr>
              <w:ind w:firstLine="0"/>
            </w:pPr>
            <w:r>
              <w:t xml:space="preserve">Regulacja wysokości, funkcja pochyłu, </w:t>
            </w:r>
            <w:proofErr w:type="spellStart"/>
            <w:r>
              <w:t>fukcja</w:t>
            </w:r>
            <w:proofErr w:type="spellEnd"/>
            <w:r>
              <w:t xml:space="preserve"> </w:t>
            </w:r>
            <w:proofErr w:type="spellStart"/>
            <w:r>
              <w:t>pivot</w:t>
            </w:r>
            <w:proofErr w:type="spellEnd"/>
            <w:r>
              <w:t>,</w:t>
            </w:r>
          </w:p>
          <w:p w:rsidR="00D501D3" w:rsidRPr="00A6183F" w:rsidRDefault="00C04514" w:rsidP="00D501D3">
            <w:pPr>
              <w:ind w:firstLine="0"/>
            </w:pPr>
            <w:r w:rsidRPr="00464CE5">
              <w:t>Porty USB min. 2 x USB 2.x/3.x</w:t>
            </w:r>
          </w:p>
          <w:p w:rsidR="00D501D3" w:rsidRDefault="00D501D3" w:rsidP="00D501D3">
            <w:pPr>
              <w:ind w:firstLine="0"/>
            </w:pPr>
            <w:r>
              <w:t>Warstwa przeciwodblaskowa</w:t>
            </w:r>
          </w:p>
          <w:p w:rsidR="00D501D3" w:rsidRDefault="00CE24DD" w:rsidP="00D501D3">
            <w:pPr>
              <w:ind w:firstLine="0"/>
            </w:pPr>
            <w:r>
              <w:t>Z</w:t>
            </w:r>
            <w:r w:rsidR="00D501D3">
              <w:t xml:space="preserve">łącza cyfrowe zgodnie z oferowanym komputerem bez konieczności stosowania przejściówek </w:t>
            </w:r>
          </w:p>
          <w:p w:rsidR="00D501D3" w:rsidRDefault="00D501D3" w:rsidP="00D501D3">
            <w:pPr>
              <w:ind w:firstLine="0"/>
            </w:pPr>
            <w:r>
              <w:lastRenderedPageBreak/>
              <w:t>Funkcja ograniczenia emisji światła niebieskiego.</w:t>
            </w:r>
          </w:p>
          <w:p w:rsidR="00D501D3" w:rsidRDefault="00D501D3" w:rsidP="00D501D3">
            <w:pPr>
              <w:ind w:firstLine="0"/>
            </w:pPr>
            <w:r>
              <w:t>Funkcja ograniczenia migotania ekranu.</w:t>
            </w:r>
          </w:p>
          <w:p w:rsidR="00D501D3" w:rsidRDefault="00D501D3" w:rsidP="00D501D3">
            <w:pPr>
              <w:ind w:firstLine="0"/>
            </w:pPr>
            <w:r>
              <w:t>Pobór energii mniejszy niż 0.5W w trybie czuwania.</w:t>
            </w:r>
          </w:p>
          <w:p w:rsidR="00D501D3" w:rsidRDefault="00D501D3" w:rsidP="00D501D3">
            <w:pPr>
              <w:ind w:firstLine="0"/>
            </w:pPr>
            <w:r>
              <w:t>Możliwość przypięcia monitora przy pomocy linki zapinanej na klucz.</w:t>
            </w:r>
            <w:r>
              <w:tab/>
            </w:r>
          </w:p>
        </w:tc>
      </w:tr>
    </w:tbl>
    <w:p w:rsidR="00D573E3" w:rsidRDefault="00D573E3" w:rsidP="00D573E3"/>
    <w:p w:rsidR="004A6491" w:rsidRDefault="004A6491" w:rsidP="00D573E3"/>
    <w:p w:rsidR="004A6491" w:rsidRDefault="004A6491" w:rsidP="00D573E3"/>
    <w:p w:rsidR="00590FA5" w:rsidRDefault="00590FA5" w:rsidP="00590FA5">
      <w:pPr>
        <w:pStyle w:val="Nagwek4"/>
      </w:pPr>
      <w:r>
        <w:t>Specyfikacja dysków twardych zamawianych jako osobny produkt</w:t>
      </w:r>
      <w:r w:rsidR="007E6285">
        <w:t xml:space="preserve"> nie wchodzący w skład zestawu komputerowego</w:t>
      </w:r>
      <w:r>
        <w:t xml:space="preserve">: </w:t>
      </w:r>
    </w:p>
    <w:p w:rsidR="00ED0DC8" w:rsidRDefault="00ED0DC8" w:rsidP="00A6183F"/>
    <w:p w:rsidR="00590FA5" w:rsidRDefault="00590FA5" w:rsidP="00590FA5">
      <w:r>
        <w:t>Wariant 1 – komputery osobiste – Dysk SATA</w:t>
      </w:r>
      <w:r w:rsidR="007E6285">
        <w:t xml:space="preserve"> SSD</w:t>
      </w:r>
    </w:p>
    <w:tbl>
      <w:tblPr>
        <w:tblStyle w:val="Tabela-Siatka"/>
        <w:tblW w:w="0" w:type="auto"/>
        <w:tblLook w:val="04A0" w:firstRow="1" w:lastRow="0" w:firstColumn="1" w:lastColumn="0" w:noHBand="0" w:noVBand="1"/>
      </w:tblPr>
      <w:tblGrid>
        <w:gridCol w:w="2547"/>
        <w:gridCol w:w="6515"/>
      </w:tblGrid>
      <w:tr w:rsidR="00590FA5" w:rsidTr="003A2F98">
        <w:tc>
          <w:tcPr>
            <w:tcW w:w="2547" w:type="dxa"/>
          </w:tcPr>
          <w:p w:rsidR="00590FA5" w:rsidRDefault="00590FA5" w:rsidP="00641095">
            <w:pPr>
              <w:ind w:firstLine="0"/>
            </w:pPr>
            <w:r>
              <w:t>Pojemność</w:t>
            </w:r>
          </w:p>
        </w:tc>
        <w:tc>
          <w:tcPr>
            <w:tcW w:w="6515" w:type="dxa"/>
          </w:tcPr>
          <w:p w:rsidR="00590FA5" w:rsidRDefault="00590FA5" w:rsidP="004A6491">
            <w:pPr>
              <w:ind w:firstLine="0"/>
            </w:pPr>
            <w:r>
              <w:t xml:space="preserve">Min. </w:t>
            </w:r>
            <w:r w:rsidR="007E6285">
              <w:t xml:space="preserve"> 250</w:t>
            </w:r>
            <w:r>
              <w:t>GB</w:t>
            </w:r>
          </w:p>
        </w:tc>
      </w:tr>
      <w:tr w:rsidR="00590FA5" w:rsidTr="003A2F98">
        <w:tc>
          <w:tcPr>
            <w:tcW w:w="2547" w:type="dxa"/>
          </w:tcPr>
          <w:p w:rsidR="00590FA5" w:rsidRDefault="00590FA5" w:rsidP="00641095">
            <w:pPr>
              <w:ind w:firstLine="0"/>
            </w:pPr>
            <w:r>
              <w:t>Interfejs</w:t>
            </w:r>
          </w:p>
        </w:tc>
        <w:tc>
          <w:tcPr>
            <w:tcW w:w="6515" w:type="dxa"/>
          </w:tcPr>
          <w:p w:rsidR="00590FA5" w:rsidRDefault="00590FA5" w:rsidP="004A6491">
            <w:pPr>
              <w:ind w:firstLine="0"/>
            </w:pPr>
            <w:r>
              <w:t>SATA</w:t>
            </w:r>
            <w:r w:rsidR="007E6285">
              <w:t xml:space="preserve"> III</w:t>
            </w:r>
          </w:p>
        </w:tc>
      </w:tr>
      <w:tr w:rsidR="00590FA5" w:rsidTr="003A2F98">
        <w:tc>
          <w:tcPr>
            <w:tcW w:w="2547" w:type="dxa"/>
          </w:tcPr>
          <w:p w:rsidR="00590FA5" w:rsidRDefault="00590FA5" w:rsidP="00641095">
            <w:pPr>
              <w:ind w:firstLine="0"/>
            </w:pPr>
            <w:r>
              <w:t>Odczyt sekwencyjny</w:t>
            </w:r>
          </w:p>
        </w:tc>
        <w:tc>
          <w:tcPr>
            <w:tcW w:w="6515" w:type="dxa"/>
          </w:tcPr>
          <w:p w:rsidR="00590FA5" w:rsidRDefault="00590FA5" w:rsidP="004A6491">
            <w:pPr>
              <w:ind w:firstLine="0"/>
            </w:pPr>
            <w:r>
              <w:t xml:space="preserve">Min. </w:t>
            </w:r>
            <w:r w:rsidRPr="004B7A92">
              <w:t>500</w:t>
            </w:r>
            <w:r>
              <w:t xml:space="preserve"> MB/s</w:t>
            </w:r>
          </w:p>
        </w:tc>
      </w:tr>
      <w:tr w:rsidR="00590FA5" w:rsidTr="003A2F98">
        <w:tc>
          <w:tcPr>
            <w:tcW w:w="2547" w:type="dxa"/>
          </w:tcPr>
          <w:p w:rsidR="00590FA5" w:rsidRDefault="00590FA5" w:rsidP="00641095">
            <w:pPr>
              <w:ind w:firstLine="0"/>
            </w:pPr>
            <w:r>
              <w:t>Zapis sekwencyjny</w:t>
            </w:r>
          </w:p>
        </w:tc>
        <w:tc>
          <w:tcPr>
            <w:tcW w:w="6515" w:type="dxa"/>
          </w:tcPr>
          <w:p w:rsidR="00590FA5" w:rsidRDefault="00590FA5" w:rsidP="004A6491">
            <w:pPr>
              <w:ind w:firstLine="0"/>
            </w:pPr>
            <w:r>
              <w:t xml:space="preserve">Min. </w:t>
            </w:r>
            <w:r w:rsidRPr="004B7A92">
              <w:t>500</w:t>
            </w:r>
            <w:r>
              <w:t xml:space="preserve"> MB/s</w:t>
            </w:r>
          </w:p>
        </w:tc>
      </w:tr>
      <w:tr w:rsidR="00590FA5" w:rsidTr="003A2F98">
        <w:tc>
          <w:tcPr>
            <w:tcW w:w="2547" w:type="dxa"/>
          </w:tcPr>
          <w:p w:rsidR="00590FA5" w:rsidRDefault="00590FA5" w:rsidP="00641095">
            <w:pPr>
              <w:ind w:firstLine="0"/>
            </w:pPr>
            <w:r>
              <w:t xml:space="preserve">TBW (Total </w:t>
            </w:r>
            <w:proofErr w:type="spellStart"/>
            <w:r>
              <w:t>Bytes</w:t>
            </w:r>
            <w:proofErr w:type="spellEnd"/>
            <w:r>
              <w:t xml:space="preserve"> </w:t>
            </w:r>
            <w:proofErr w:type="spellStart"/>
            <w:r>
              <w:t>Written</w:t>
            </w:r>
            <w:proofErr w:type="spellEnd"/>
            <w:r>
              <w:t>)</w:t>
            </w:r>
          </w:p>
        </w:tc>
        <w:tc>
          <w:tcPr>
            <w:tcW w:w="6515" w:type="dxa"/>
          </w:tcPr>
          <w:p w:rsidR="00590FA5" w:rsidRDefault="00590FA5" w:rsidP="004A6491">
            <w:pPr>
              <w:ind w:firstLine="0"/>
            </w:pPr>
            <w:r>
              <w:t xml:space="preserve">Min. </w:t>
            </w:r>
            <w:r w:rsidR="007E6285">
              <w:t xml:space="preserve"> 150</w:t>
            </w:r>
          </w:p>
        </w:tc>
      </w:tr>
      <w:tr w:rsidR="00590FA5" w:rsidTr="003A2F98">
        <w:tc>
          <w:tcPr>
            <w:tcW w:w="2547" w:type="dxa"/>
          </w:tcPr>
          <w:p w:rsidR="00590FA5" w:rsidRDefault="00590FA5" w:rsidP="00641095">
            <w:pPr>
              <w:ind w:firstLine="0"/>
            </w:pPr>
            <w:r>
              <w:t>MTBF</w:t>
            </w:r>
          </w:p>
        </w:tc>
        <w:tc>
          <w:tcPr>
            <w:tcW w:w="6515" w:type="dxa"/>
          </w:tcPr>
          <w:p w:rsidR="00590FA5" w:rsidRDefault="00590FA5" w:rsidP="004A6491">
            <w:pPr>
              <w:ind w:firstLine="0"/>
            </w:pPr>
            <w:r>
              <w:t>Min. 1.5mln godz.</w:t>
            </w:r>
          </w:p>
        </w:tc>
      </w:tr>
      <w:tr w:rsidR="00590FA5" w:rsidTr="003A2F98">
        <w:tc>
          <w:tcPr>
            <w:tcW w:w="2547" w:type="dxa"/>
          </w:tcPr>
          <w:p w:rsidR="00590FA5" w:rsidRDefault="00590FA5" w:rsidP="00641095">
            <w:pPr>
              <w:ind w:firstLine="0"/>
            </w:pPr>
            <w:r>
              <w:t>Gwarancja</w:t>
            </w:r>
          </w:p>
        </w:tc>
        <w:tc>
          <w:tcPr>
            <w:tcW w:w="6515" w:type="dxa"/>
          </w:tcPr>
          <w:p w:rsidR="00590FA5" w:rsidRDefault="00590FA5" w:rsidP="004A6491">
            <w:pPr>
              <w:ind w:firstLine="0"/>
            </w:pPr>
            <w:r>
              <w:t>Min. 5 lat gwarancji producenta</w:t>
            </w:r>
          </w:p>
        </w:tc>
      </w:tr>
    </w:tbl>
    <w:p w:rsidR="00590FA5" w:rsidRDefault="00590FA5" w:rsidP="00590FA5"/>
    <w:p w:rsidR="00590FA5" w:rsidRDefault="00590FA5" w:rsidP="00590FA5">
      <w:r>
        <w:t xml:space="preserve">Wariant </w:t>
      </w:r>
      <w:r w:rsidR="00DB55FA">
        <w:t>1</w:t>
      </w:r>
      <w:r>
        <w:t xml:space="preserve"> - komputery specjalistyczne – Dysk </w:t>
      </w:r>
      <w:proofErr w:type="spellStart"/>
      <w:r>
        <w:t>NVMe</w:t>
      </w:r>
      <w:proofErr w:type="spellEnd"/>
    </w:p>
    <w:tbl>
      <w:tblPr>
        <w:tblStyle w:val="Tabela-Siatka"/>
        <w:tblW w:w="0" w:type="auto"/>
        <w:tblLook w:val="04A0" w:firstRow="1" w:lastRow="0" w:firstColumn="1" w:lastColumn="0" w:noHBand="0" w:noVBand="1"/>
      </w:tblPr>
      <w:tblGrid>
        <w:gridCol w:w="2547"/>
        <w:gridCol w:w="6515"/>
      </w:tblGrid>
      <w:tr w:rsidR="007825F7" w:rsidTr="003A2F98">
        <w:tc>
          <w:tcPr>
            <w:tcW w:w="2547" w:type="dxa"/>
          </w:tcPr>
          <w:p w:rsidR="007825F7" w:rsidRDefault="007825F7" w:rsidP="00641095">
            <w:pPr>
              <w:ind w:firstLine="0"/>
            </w:pPr>
            <w:r>
              <w:t>Pojemność</w:t>
            </w:r>
          </w:p>
        </w:tc>
        <w:tc>
          <w:tcPr>
            <w:tcW w:w="6515" w:type="dxa"/>
          </w:tcPr>
          <w:p w:rsidR="007825F7" w:rsidRDefault="007825F7" w:rsidP="00641095">
            <w:pPr>
              <w:ind w:firstLine="0"/>
            </w:pPr>
            <w:r>
              <w:t>Min. 250 GB</w:t>
            </w:r>
          </w:p>
        </w:tc>
      </w:tr>
      <w:tr w:rsidR="007825F7" w:rsidTr="003A2F98">
        <w:tc>
          <w:tcPr>
            <w:tcW w:w="2547" w:type="dxa"/>
          </w:tcPr>
          <w:p w:rsidR="007825F7" w:rsidRDefault="007825F7" w:rsidP="00641095">
            <w:pPr>
              <w:ind w:firstLine="0"/>
            </w:pPr>
            <w:r>
              <w:t>Interfejs</w:t>
            </w:r>
          </w:p>
        </w:tc>
        <w:tc>
          <w:tcPr>
            <w:tcW w:w="6515" w:type="dxa"/>
          </w:tcPr>
          <w:p w:rsidR="007825F7" w:rsidRPr="001E5116" w:rsidRDefault="007825F7" w:rsidP="00641095">
            <w:pPr>
              <w:ind w:firstLine="0"/>
              <w:rPr>
                <w:b/>
              </w:rPr>
            </w:pPr>
            <w:r w:rsidRPr="004B7A92">
              <w:t>M.2</w:t>
            </w:r>
          </w:p>
        </w:tc>
      </w:tr>
      <w:tr w:rsidR="007825F7" w:rsidTr="003A2F98">
        <w:tc>
          <w:tcPr>
            <w:tcW w:w="2547" w:type="dxa"/>
          </w:tcPr>
          <w:p w:rsidR="007825F7" w:rsidRDefault="007825F7" w:rsidP="00641095">
            <w:pPr>
              <w:ind w:firstLine="0"/>
            </w:pPr>
            <w:r>
              <w:t>Odczyt sekwencyjny</w:t>
            </w:r>
          </w:p>
        </w:tc>
        <w:tc>
          <w:tcPr>
            <w:tcW w:w="6515" w:type="dxa"/>
          </w:tcPr>
          <w:p w:rsidR="007825F7" w:rsidRDefault="007825F7" w:rsidP="00641095">
            <w:pPr>
              <w:ind w:firstLine="0"/>
            </w:pPr>
            <w:r>
              <w:t>Min. 1600 MB/s</w:t>
            </w:r>
          </w:p>
        </w:tc>
      </w:tr>
      <w:tr w:rsidR="007825F7" w:rsidTr="003A2F98">
        <w:tc>
          <w:tcPr>
            <w:tcW w:w="2547" w:type="dxa"/>
          </w:tcPr>
          <w:p w:rsidR="007825F7" w:rsidRDefault="007825F7" w:rsidP="00641095">
            <w:pPr>
              <w:ind w:firstLine="0"/>
            </w:pPr>
            <w:r>
              <w:t>Zapis sekwencyjny</w:t>
            </w:r>
          </w:p>
        </w:tc>
        <w:tc>
          <w:tcPr>
            <w:tcW w:w="6515" w:type="dxa"/>
          </w:tcPr>
          <w:p w:rsidR="007825F7" w:rsidRDefault="007825F7" w:rsidP="00641095">
            <w:pPr>
              <w:ind w:firstLine="0"/>
            </w:pPr>
            <w:r>
              <w:t>Min. 1000 MB/s</w:t>
            </w:r>
          </w:p>
        </w:tc>
      </w:tr>
      <w:tr w:rsidR="00DB55FA" w:rsidTr="003A2F98">
        <w:tc>
          <w:tcPr>
            <w:tcW w:w="2547" w:type="dxa"/>
          </w:tcPr>
          <w:p w:rsidR="00DB55FA" w:rsidRDefault="00DB55FA" w:rsidP="00641095">
            <w:pPr>
              <w:ind w:firstLine="0"/>
            </w:pPr>
            <w:r>
              <w:lastRenderedPageBreak/>
              <w:t xml:space="preserve">TBW (Total </w:t>
            </w:r>
            <w:proofErr w:type="spellStart"/>
            <w:r>
              <w:t>Bytes</w:t>
            </w:r>
            <w:proofErr w:type="spellEnd"/>
            <w:r>
              <w:t xml:space="preserve"> </w:t>
            </w:r>
            <w:proofErr w:type="spellStart"/>
            <w:r>
              <w:t>Written</w:t>
            </w:r>
            <w:proofErr w:type="spellEnd"/>
            <w:r>
              <w:t>)</w:t>
            </w:r>
          </w:p>
        </w:tc>
        <w:tc>
          <w:tcPr>
            <w:tcW w:w="6515" w:type="dxa"/>
          </w:tcPr>
          <w:p w:rsidR="00DB55FA" w:rsidRDefault="00DB55FA" w:rsidP="00641095">
            <w:pPr>
              <w:ind w:firstLine="0"/>
            </w:pPr>
            <w:r>
              <w:t>Min. 300</w:t>
            </w:r>
          </w:p>
        </w:tc>
      </w:tr>
      <w:tr w:rsidR="007825F7" w:rsidTr="003A2F98">
        <w:tc>
          <w:tcPr>
            <w:tcW w:w="2547" w:type="dxa"/>
          </w:tcPr>
          <w:p w:rsidR="007825F7" w:rsidRDefault="007825F7" w:rsidP="00641095">
            <w:pPr>
              <w:ind w:firstLine="0"/>
            </w:pPr>
            <w:r>
              <w:t>MTBF</w:t>
            </w:r>
          </w:p>
        </w:tc>
        <w:tc>
          <w:tcPr>
            <w:tcW w:w="6515" w:type="dxa"/>
          </w:tcPr>
          <w:p w:rsidR="007825F7" w:rsidRDefault="007825F7" w:rsidP="00641095">
            <w:pPr>
              <w:ind w:firstLine="0"/>
            </w:pPr>
            <w:r>
              <w:t>Min. 1.5mln godz.</w:t>
            </w:r>
          </w:p>
        </w:tc>
      </w:tr>
      <w:tr w:rsidR="007825F7" w:rsidTr="003A2F98">
        <w:tc>
          <w:tcPr>
            <w:tcW w:w="2547" w:type="dxa"/>
          </w:tcPr>
          <w:p w:rsidR="007825F7" w:rsidRDefault="007825F7" w:rsidP="00641095">
            <w:pPr>
              <w:ind w:firstLine="0"/>
            </w:pPr>
            <w:r>
              <w:t>Gwarancja</w:t>
            </w:r>
          </w:p>
        </w:tc>
        <w:tc>
          <w:tcPr>
            <w:tcW w:w="6515" w:type="dxa"/>
          </w:tcPr>
          <w:p w:rsidR="007825F7" w:rsidRDefault="007825F7" w:rsidP="00641095">
            <w:pPr>
              <w:ind w:firstLine="0"/>
            </w:pPr>
            <w:r>
              <w:t>Min. 5 lat gwarancji producenta</w:t>
            </w:r>
          </w:p>
        </w:tc>
      </w:tr>
    </w:tbl>
    <w:p w:rsidR="007825F7" w:rsidRDefault="007825F7" w:rsidP="00590FA5"/>
    <w:p w:rsidR="00DB55FA" w:rsidRDefault="00DB55FA" w:rsidP="00DB55FA">
      <w:r>
        <w:t xml:space="preserve">Wariant 2 - komputery specjalistyczne – Dysk </w:t>
      </w:r>
      <w:proofErr w:type="spellStart"/>
      <w:r>
        <w:t>NVMe</w:t>
      </w:r>
      <w:proofErr w:type="spellEnd"/>
    </w:p>
    <w:p w:rsidR="00DB55FA" w:rsidRDefault="00DB55FA" w:rsidP="00590FA5"/>
    <w:tbl>
      <w:tblPr>
        <w:tblStyle w:val="Tabela-Siatka"/>
        <w:tblW w:w="0" w:type="auto"/>
        <w:tblLook w:val="04A0" w:firstRow="1" w:lastRow="0" w:firstColumn="1" w:lastColumn="0" w:noHBand="0" w:noVBand="1"/>
      </w:tblPr>
      <w:tblGrid>
        <w:gridCol w:w="2547"/>
        <w:gridCol w:w="6515"/>
      </w:tblGrid>
      <w:tr w:rsidR="00590FA5" w:rsidTr="003A2F98">
        <w:tc>
          <w:tcPr>
            <w:tcW w:w="2547" w:type="dxa"/>
          </w:tcPr>
          <w:p w:rsidR="00590FA5" w:rsidRDefault="00590FA5" w:rsidP="00641095">
            <w:pPr>
              <w:ind w:firstLine="0"/>
            </w:pPr>
            <w:r>
              <w:t>Pojemność</w:t>
            </w:r>
          </w:p>
        </w:tc>
        <w:tc>
          <w:tcPr>
            <w:tcW w:w="6515" w:type="dxa"/>
          </w:tcPr>
          <w:p w:rsidR="00590FA5" w:rsidRDefault="00590FA5" w:rsidP="00641095">
            <w:pPr>
              <w:ind w:firstLine="0"/>
            </w:pPr>
            <w:r>
              <w:t>Min.</w:t>
            </w:r>
            <w:r w:rsidR="00DB55FA">
              <w:t xml:space="preserve"> 480</w:t>
            </w:r>
            <w:r>
              <w:t xml:space="preserve"> GB</w:t>
            </w:r>
          </w:p>
        </w:tc>
      </w:tr>
      <w:tr w:rsidR="00590FA5" w:rsidTr="003A2F98">
        <w:tc>
          <w:tcPr>
            <w:tcW w:w="2547" w:type="dxa"/>
          </w:tcPr>
          <w:p w:rsidR="00590FA5" w:rsidRDefault="00590FA5" w:rsidP="00641095">
            <w:pPr>
              <w:ind w:firstLine="0"/>
            </w:pPr>
            <w:r>
              <w:t>Interfejs</w:t>
            </w:r>
          </w:p>
        </w:tc>
        <w:tc>
          <w:tcPr>
            <w:tcW w:w="6515" w:type="dxa"/>
          </w:tcPr>
          <w:p w:rsidR="00590FA5" w:rsidRPr="001E5116" w:rsidRDefault="00590FA5" w:rsidP="00641095">
            <w:pPr>
              <w:ind w:firstLine="0"/>
              <w:rPr>
                <w:b/>
              </w:rPr>
            </w:pPr>
            <w:r w:rsidRPr="004B7A92">
              <w:t>M.2</w:t>
            </w:r>
          </w:p>
        </w:tc>
      </w:tr>
      <w:tr w:rsidR="00590FA5" w:rsidTr="003A2F98">
        <w:tc>
          <w:tcPr>
            <w:tcW w:w="2547" w:type="dxa"/>
          </w:tcPr>
          <w:p w:rsidR="00590FA5" w:rsidRDefault="00590FA5" w:rsidP="00641095">
            <w:pPr>
              <w:ind w:firstLine="0"/>
            </w:pPr>
            <w:r>
              <w:t>Odczyt sekwencyjny</w:t>
            </w:r>
          </w:p>
        </w:tc>
        <w:tc>
          <w:tcPr>
            <w:tcW w:w="6515" w:type="dxa"/>
          </w:tcPr>
          <w:p w:rsidR="00590FA5" w:rsidRDefault="00590FA5" w:rsidP="00641095">
            <w:pPr>
              <w:ind w:firstLine="0"/>
            </w:pPr>
            <w:r>
              <w:t xml:space="preserve">Min. </w:t>
            </w:r>
            <w:r w:rsidR="00DB55FA">
              <w:t>2500</w:t>
            </w:r>
            <w:r>
              <w:t xml:space="preserve"> MB/s</w:t>
            </w:r>
          </w:p>
        </w:tc>
      </w:tr>
      <w:tr w:rsidR="00590FA5" w:rsidTr="003A2F98">
        <w:tc>
          <w:tcPr>
            <w:tcW w:w="2547" w:type="dxa"/>
          </w:tcPr>
          <w:p w:rsidR="00590FA5" w:rsidRDefault="00590FA5" w:rsidP="00641095">
            <w:pPr>
              <w:ind w:firstLine="0"/>
            </w:pPr>
            <w:r>
              <w:t>Zapis sekwencyjny</w:t>
            </w:r>
          </w:p>
        </w:tc>
        <w:tc>
          <w:tcPr>
            <w:tcW w:w="6515" w:type="dxa"/>
          </w:tcPr>
          <w:p w:rsidR="00590FA5" w:rsidRDefault="00590FA5" w:rsidP="00641095">
            <w:pPr>
              <w:ind w:firstLine="0"/>
            </w:pPr>
            <w:r>
              <w:t xml:space="preserve">Min. </w:t>
            </w:r>
            <w:r w:rsidR="00DB55FA">
              <w:t xml:space="preserve"> 1600</w:t>
            </w:r>
            <w:r>
              <w:t xml:space="preserve"> MB/s</w:t>
            </w:r>
          </w:p>
        </w:tc>
      </w:tr>
      <w:tr w:rsidR="00590FA5" w:rsidTr="003A2F98">
        <w:tc>
          <w:tcPr>
            <w:tcW w:w="2547" w:type="dxa"/>
          </w:tcPr>
          <w:p w:rsidR="00590FA5" w:rsidRDefault="00590FA5" w:rsidP="00641095">
            <w:pPr>
              <w:ind w:firstLine="0"/>
            </w:pPr>
            <w:r>
              <w:t xml:space="preserve">TBW (Total </w:t>
            </w:r>
            <w:proofErr w:type="spellStart"/>
            <w:r>
              <w:t>Bytes</w:t>
            </w:r>
            <w:proofErr w:type="spellEnd"/>
            <w:r>
              <w:t xml:space="preserve"> </w:t>
            </w:r>
            <w:proofErr w:type="spellStart"/>
            <w:r>
              <w:t>Written</w:t>
            </w:r>
            <w:proofErr w:type="spellEnd"/>
            <w:r>
              <w:t>)</w:t>
            </w:r>
          </w:p>
        </w:tc>
        <w:tc>
          <w:tcPr>
            <w:tcW w:w="6515" w:type="dxa"/>
          </w:tcPr>
          <w:p w:rsidR="00590FA5" w:rsidRDefault="00590FA5" w:rsidP="00641095">
            <w:pPr>
              <w:ind w:firstLine="0"/>
            </w:pPr>
            <w:r>
              <w:t>Min. 300</w:t>
            </w:r>
          </w:p>
        </w:tc>
      </w:tr>
      <w:tr w:rsidR="00590FA5" w:rsidTr="003A2F98">
        <w:tc>
          <w:tcPr>
            <w:tcW w:w="2547" w:type="dxa"/>
          </w:tcPr>
          <w:p w:rsidR="00590FA5" w:rsidRDefault="00590FA5" w:rsidP="00641095">
            <w:pPr>
              <w:ind w:firstLine="0"/>
            </w:pPr>
            <w:r>
              <w:t>MTBF</w:t>
            </w:r>
          </w:p>
        </w:tc>
        <w:tc>
          <w:tcPr>
            <w:tcW w:w="6515" w:type="dxa"/>
          </w:tcPr>
          <w:p w:rsidR="00590FA5" w:rsidRDefault="00590FA5" w:rsidP="00641095">
            <w:pPr>
              <w:ind w:firstLine="0"/>
            </w:pPr>
            <w:r>
              <w:t>Min. 1.5mln godz.</w:t>
            </w:r>
          </w:p>
        </w:tc>
      </w:tr>
      <w:tr w:rsidR="00590FA5" w:rsidTr="003A2F98">
        <w:tc>
          <w:tcPr>
            <w:tcW w:w="2547" w:type="dxa"/>
          </w:tcPr>
          <w:p w:rsidR="00590FA5" w:rsidRDefault="00590FA5" w:rsidP="00641095">
            <w:pPr>
              <w:ind w:firstLine="0"/>
            </w:pPr>
            <w:r>
              <w:t>Gwarancja</w:t>
            </w:r>
          </w:p>
        </w:tc>
        <w:tc>
          <w:tcPr>
            <w:tcW w:w="6515" w:type="dxa"/>
          </w:tcPr>
          <w:p w:rsidR="00590FA5" w:rsidRDefault="00590FA5" w:rsidP="00641095">
            <w:pPr>
              <w:ind w:firstLine="0"/>
            </w:pPr>
            <w:r>
              <w:t>Min. 5 lat gwarancji producenta</w:t>
            </w:r>
          </w:p>
        </w:tc>
      </w:tr>
    </w:tbl>
    <w:p w:rsidR="00590FA5" w:rsidRDefault="00590FA5" w:rsidP="00590FA5">
      <w:r>
        <w:br/>
      </w:r>
      <w:r w:rsidR="00DB55FA">
        <w:rPr>
          <w:b/>
        </w:rPr>
        <w:t>Przenośne d</w:t>
      </w:r>
      <w:r w:rsidRPr="001E254E">
        <w:rPr>
          <w:b/>
        </w:rPr>
        <w:t>yski</w:t>
      </w:r>
      <w:r w:rsidR="00DB55FA">
        <w:rPr>
          <w:b/>
        </w:rPr>
        <w:t xml:space="preserve"> zewn</w:t>
      </w:r>
      <w:r w:rsidR="0045025B">
        <w:rPr>
          <w:b/>
        </w:rPr>
        <w:t>ę</w:t>
      </w:r>
      <w:r w:rsidR="00DB55FA">
        <w:rPr>
          <w:b/>
        </w:rPr>
        <w:t>trzne</w:t>
      </w:r>
      <w:r w:rsidR="00641095">
        <w:rPr>
          <w:b/>
        </w:rPr>
        <w:t>:</w:t>
      </w:r>
    </w:p>
    <w:tbl>
      <w:tblPr>
        <w:tblStyle w:val="Tabela-Siatka"/>
        <w:tblW w:w="0" w:type="auto"/>
        <w:tblLook w:val="04A0" w:firstRow="1" w:lastRow="0" w:firstColumn="1" w:lastColumn="0" w:noHBand="0" w:noVBand="1"/>
      </w:tblPr>
      <w:tblGrid>
        <w:gridCol w:w="2547"/>
        <w:gridCol w:w="6515"/>
      </w:tblGrid>
      <w:tr w:rsidR="00590FA5" w:rsidTr="003A2F98">
        <w:tc>
          <w:tcPr>
            <w:tcW w:w="2547" w:type="dxa"/>
          </w:tcPr>
          <w:p w:rsidR="00590FA5" w:rsidRDefault="00590FA5" w:rsidP="00641095">
            <w:pPr>
              <w:ind w:firstLine="0"/>
            </w:pPr>
            <w:r>
              <w:t>Pojemność</w:t>
            </w:r>
          </w:p>
        </w:tc>
        <w:tc>
          <w:tcPr>
            <w:tcW w:w="6515" w:type="dxa"/>
          </w:tcPr>
          <w:p w:rsidR="00590FA5" w:rsidRDefault="00590FA5" w:rsidP="00641095">
            <w:pPr>
              <w:ind w:firstLine="0"/>
            </w:pPr>
            <w:r>
              <w:t>Min. 250 GB</w:t>
            </w:r>
          </w:p>
        </w:tc>
      </w:tr>
      <w:tr w:rsidR="00590FA5" w:rsidTr="003A2F98">
        <w:tc>
          <w:tcPr>
            <w:tcW w:w="2547" w:type="dxa"/>
          </w:tcPr>
          <w:p w:rsidR="00590FA5" w:rsidRDefault="00590FA5" w:rsidP="00641095">
            <w:pPr>
              <w:ind w:firstLine="0"/>
            </w:pPr>
            <w:r>
              <w:t>Odczyt sekwencyjny</w:t>
            </w:r>
          </w:p>
        </w:tc>
        <w:tc>
          <w:tcPr>
            <w:tcW w:w="6515" w:type="dxa"/>
          </w:tcPr>
          <w:p w:rsidR="00590FA5" w:rsidRDefault="00590FA5" w:rsidP="00641095">
            <w:pPr>
              <w:ind w:firstLine="0"/>
            </w:pPr>
            <w:r>
              <w:t>Min. 500 MB/s</w:t>
            </w:r>
          </w:p>
        </w:tc>
      </w:tr>
      <w:tr w:rsidR="00590FA5" w:rsidTr="003A2F98">
        <w:tc>
          <w:tcPr>
            <w:tcW w:w="2547" w:type="dxa"/>
          </w:tcPr>
          <w:p w:rsidR="00590FA5" w:rsidRDefault="00590FA5" w:rsidP="00641095">
            <w:pPr>
              <w:ind w:firstLine="0"/>
            </w:pPr>
            <w:r>
              <w:t>Zapis sekwencyjny</w:t>
            </w:r>
          </w:p>
        </w:tc>
        <w:tc>
          <w:tcPr>
            <w:tcW w:w="6515" w:type="dxa"/>
          </w:tcPr>
          <w:p w:rsidR="00590FA5" w:rsidRDefault="00590FA5" w:rsidP="00641095">
            <w:pPr>
              <w:ind w:firstLine="0"/>
            </w:pPr>
            <w:r>
              <w:t>Min. 500 MB/s</w:t>
            </w:r>
          </w:p>
        </w:tc>
      </w:tr>
      <w:tr w:rsidR="00590FA5" w:rsidRPr="00590FA5" w:rsidTr="003A2F98">
        <w:tc>
          <w:tcPr>
            <w:tcW w:w="2547" w:type="dxa"/>
          </w:tcPr>
          <w:p w:rsidR="00590FA5" w:rsidRDefault="00590FA5" w:rsidP="00641095">
            <w:pPr>
              <w:ind w:firstLine="0"/>
            </w:pPr>
            <w:r>
              <w:t>Interfejs</w:t>
            </w:r>
          </w:p>
        </w:tc>
        <w:tc>
          <w:tcPr>
            <w:tcW w:w="6515" w:type="dxa"/>
          </w:tcPr>
          <w:p w:rsidR="00590FA5" w:rsidRPr="00590FA5" w:rsidRDefault="00590FA5" w:rsidP="00641095">
            <w:pPr>
              <w:ind w:firstLine="0"/>
            </w:pPr>
            <w:r w:rsidRPr="00590FA5">
              <w:t>Min. USB 3.1 typ A l</w:t>
            </w:r>
            <w:r w:rsidR="00C04514" w:rsidRPr="00A6183F">
              <w:t>ub</w:t>
            </w:r>
            <w:r>
              <w:t xml:space="preserve"> C</w:t>
            </w:r>
          </w:p>
        </w:tc>
      </w:tr>
      <w:tr w:rsidR="00590FA5" w:rsidTr="003A2F98">
        <w:tc>
          <w:tcPr>
            <w:tcW w:w="2547" w:type="dxa"/>
          </w:tcPr>
          <w:p w:rsidR="00590FA5" w:rsidRDefault="00590FA5" w:rsidP="00641095">
            <w:pPr>
              <w:ind w:firstLine="0"/>
            </w:pPr>
            <w:r>
              <w:t>Gwarancja</w:t>
            </w:r>
          </w:p>
        </w:tc>
        <w:tc>
          <w:tcPr>
            <w:tcW w:w="6515" w:type="dxa"/>
          </w:tcPr>
          <w:p w:rsidR="00590FA5" w:rsidRDefault="00590FA5" w:rsidP="00641095">
            <w:pPr>
              <w:ind w:firstLine="0"/>
            </w:pPr>
            <w:r>
              <w:t>Min. 3 lata gwarancji producenta</w:t>
            </w:r>
          </w:p>
        </w:tc>
      </w:tr>
      <w:tr w:rsidR="00DB55FA" w:rsidTr="003A2F98">
        <w:tc>
          <w:tcPr>
            <w:tcW w:w="2547" w:type="dxa"/>
          </w:tcPr>
          <w:p w:rsidR="00DB55FA" w:rsidRDefault="00DB55FA" w:rsidP="00641095">
            <w:pPr>
              <w:ind w:firstLine="0"/>
            </w:pPr>
          </w:p>
        </w:tc>
        <w:tc>
          <w:tcPr>
            <w:tcW w:w="6515" w:type="dxa"/>
          </w:tcPr>
          <w:p w:rsidR="00ED0DC8" w:rsidRDefault="00DB55FA" w:rsidP="00641095">
            <w:pPr>
              <w:ind w:firstLine="0"/>
            </w:pPr>
            <w:r>
              <w:t>Nie dopuszcza się uzyskania funkcjonalności poprzez dysk i kieszeń jako oddzielne podzespoły.</w:t>
            </w:r>
          </w:p>
        </w:tc>
      </w:tr>
    </w:tbl>
    <w:p w:rsidR="00ED0DC8" w:rsidRDefault="00ED0DC8" w:rsidP="00A6183F"/>
    <w:p w:rsidR="00590FA5" w:rsidRDefault="00590FA5" w:rsidP="00D573E3"/>
    <w:p w:rsidR="00871A84" w:rsidRPr="00871A84" w:rsidRDefault="003C3B2C" w:rsidP="003F7FD1">
      <w:pPr>
        <w:pStyle w:val="Nagwek1"/>
        <w:numPr>
          <w:ilvl w:val="0"/>
          <w:numId w:val="2"/>
        </w:numPr>
      </w:pPr>
      <w:bookmarkStart w:id="21" w:name="_Toc62214605"/>
      <w:r>
        <w:lastRenderedPageBreak/>
        <w:t>Zastrzeżenia</w:t>
      </w:r>
      <w:bookmarkEnd w:id="21"/>
    </w:p>
    <w:p w:rsidR="003C3B2C" w:rsidRDefault="003C3B2C" w:rsidP="003C3B2C">
      <w:r>
        <w:t>a. Wszelkie nazwy własne znajdujące się w rekomendacjach – np. dotyczące urządzeń  lub ich komponentów, a także oprogramowania zostały przywołane jedynie przykładowo i nie mogą być w żaden sposób traktowane jako rekomendacja ich nabycia, użycia, czy promocji.</w:t>
      </w:r>
    </w:p>
    <w:p w:rsidR="003C3B2C" w:rsidRDefault="003C3B2C" w:rsidP="003C3B2C">
      <w:r>
        <w:t xml:space="preserve">b. Powołanie przykładowej nazwy własnej </w:t>
      </w:r>
      <w:r w:rsidR="00965924" w:rsidRPr="009610DB">
        <w:t xml:space="preserve">w niniejszym opracowaniu </w:t>
      </w:r>
      <w:r>
        <w:t>nie może być interpretowane jako ocena właściwości danego urządzenia czy programu komputerowego, ani tym bardziej jako przesłanka uznania ich za lepsze od innych analogicznych urządzeń czy innego porównywalnego oprogramowania.</w:t>
      </w:r>
    </w:p>
    <w:p w:rsidR="00E11983" w:rsidRDefault="00E11983" w:rsidP="00E11983">
      <w:pPr>
        <w:pStyle w:val="Nagwek1"/>
        <w:ind w:firstLine="426"/>
      </w:pPr>
      <w:bookmarkStart w:id="22" w:name="_Toc62214606"/>
      <w:r>
        <w:t xml:space="preserve">5. </w:t>
      </w:r>
      <w:r w:rsidR="001220B7">
        <w:t>Normy i certyfikaty</w:t>
      </w:r>
      <w:bookmarkEnd w:id="22"/>
    </w:p>
    <w:p w:rsidR="003C3B2C" w:rsidRPr="003C3B2C" w:rsidRDefault="00E11983" w:rsidP="00E11983">
      <w:r>
        <w:t>W</w:t>
      </w:r>
      <w:r w:rsidR="003C3B2C" w:rsidRPr="003C3B2C">
        <w:t xml:space="preserve"> przypadku wymagania poniższych certyfikatów nie rekomenduje się oświadczeń producentów</w:t>
      </w:r>
      <w:r>
        <w:t>.</w:t>
      </w:r>
    </w:p>
    <w:p w:rsidR="003C3B2C" w:rsidRDefault="003C3B2C" w:rsidP="003C3B2C">
      <w:r>
        <w:t>Certyfikaty stosowane w Unii Europejskiej:</w:t>
      </w:r>
    </w:p>
    <w:p w:rsidR="003C3B2C" w:rsidRDefault="003C3B2C" w:rsidP="00641095">
      <w:pPr>
        <w:pStyle w:val="Akapitzlist"/>
        <w:numPr>
          <w:ilvl w:val="0"/>
          <w:numId w:val="22"/>
        </w:numPr>
        <w:ind w:left="709"/>
      </w:pPr>
      <w:r w:rsidRPr="00641095">
        <w:rPr>
          <w:b/>
        </w:rPr>
        <w:t>certyfikat CE (znak CE)</w:t>
      </w:r>
      <w:r>
        <w:t xml:space="preserve"> – oznacza, że produkt spełnia wymogi dot. bezpieczeństwa i ochrony zdrowia, które obowiązują w Unii Europejskiej. Oznakowanie CE jest to symbol deklaracji producenta, iż jego wyrób jest zgodny z zasadniczymi wymaganiami zawartymi w dyrektywach dotyczących danego produktu (jednej lub wielu).</w:t>
      </w:r>
    </w:p>
    <w:p w:rsidR="003C3B2C" w:rsidRDefault="003C3B2C" w:rsidP="00641095">
      <w:pPr>
        <w:pStyle w:val="Akapitzlist"/>
        <w:numPr>
          <w:ilvl w:val="0"/>
          <w:numId w:val="22"/>
        </w:numPr>
        <w:ind w:left="709"/>
      </w:pPr>
      <w:r w:rsidRPr="00641095">
        <w:rPr>
          <w:b/>
        </w:rPr>
        <w:t>ISO 9001</w:t>
      </w:r>
      <w:r>
        <w:t xml:space="preserve"> - międzynarodowa norma ISO 9001 jest szeroko znanym i akceptowanym na świecie systemem zarządzania jakością. Certyfikat ISO 9001 jest obiektywnym dowodem, że wszystkie procesy w organizacji zorientowane są na osiągnięcie wysokiej jakości. </w:t>
      </w:r>
    </w:p>
    <w:p w:rsidR="003C3B2C" w:rsidRDefault="003C3B2C" w:rsidP="00641095">
      <w:pPr>
        <w:pStyle w:val="Akapitzlist"/>
        <w:numPr>
          <w:ilvl w:val="0"/>
          <w:numId w:val="22"/>
        </w:numPr>
        <w:ind w:left="709"/>
      </w:pPr>
      <w:r w:rsidRPr="00641095">
        <w:rPr>
          <w:b/>
        </w:rPr>
        <w:t>ISO 14001</w:t>
      </w:r>
      <w:r>
        <w:t xml:space="preserve"> – system zarządzania środowiskowego. Istotą normy ISO 14001 jest wspomaganie organizacji – niezależnie od jej charakteru, wielkości i rodzaju – w zarządzaniu wpływem jej działań, wyrobów i usług na środowisko oraz minimalizacja tego oddziaływania i efektywne wykorzystanie dostępnych zasobów. Norma ISO 14001 została opracowana, aby wspomóc firmy i organizacje w zakresie ochrony środowiska i ograniczaniu zanieczyszczeń zgodnie z ideą zrównoważonego rozwoju. </w:t>
      </w:r>
    </w:p>
    <w:p w:rsidR="002509A4" w:rsidRDefault="002509A4" w:rsidP="00641095">
      <w:pPr>
        <w:pStyle w:val="Akapitzlist"/>
        <w:numPr>
          <w:ilvl w:val="0"/>
          <w:numId w:val="22"/>
        </w:numPr>
        <w:ind w:left="709"/>
      </w:pPr>
      <w:r w:rsidRPr="00641095">
        <w:rPr>
          <w:b/>
        </w:rPr>
        <w:t>Zgodność z dyrektywą ROHS</w:t>
      </w:r>
      <w:r>
        <w:t xml:space="preserve"> - potwierdzenie spełnienia kryteriów środowiskowych, w tym zgodności z dyrektywą </w:t>
      </w:r>
      <w:proofErr w:type="spellStart"/>
      <w:r>
        <w:t>RoHS</w:t>
      </w:r>
      <w:proofErr w:type="spellEnd"/>
      <w:r>
        <w:t xml:space="preserve"> Unii Europejskiej o eliminacji substancji niebezpiecznych w postaci oświadczenia producenta jednostki (wg wytycznych Krajowej Agencji Poszanowania Energii S.A., zawartych w dokumencie „Opracowanie propozycji kryteriów środowiskowych dla produktów zużywających energię </w:t>
      </w:r>
      <w:r>
        <w:lastRenderedPageBreak/>
        <w:t xml:space="preserve">możliwych do wykorzystania przy formułowaniu specyfikacji na potrzeby zamówień publicznych”, pkt. 3.4.2.1; dokument z grudnia 2006), w szczególności zgodności z normą ISO 1043-4 dla płyty głównej oraz elementów wykonanych z tworzyw sztucznych o masie powyżej 25 gram. </w:t>
      </w:r>
    </w:p>
    <w:p w:rsidR="00ED0DC8" w:rsidRDefault="002509A4" w:rsidP="00A6183F">
      <w:pPr>
        <w:ind w:firstLine="0"/>
      </w:pPr>
      <w:r>
        <w:t xml:space="preserve">Przykładowe pozostałe certyfikaty. Zaleca się przeprowadzenie </w:t>
      </w:r>
      <w:r w:rsidR="009E6E60">
        <w:t>przez zamawiającego wstępnych konsultacji rynkowych</w:t>
      </w:r>
      <w:r>
        <w:t xml:space="preserve"> w celu weryfikacji posiadania norm i certyfikatów przez producentów i wykonawców.</w:t>
      </w:r>
    </w:p>
    <w:p w:rsidR="002509A4" w:rsidRDefault="002509A4" w:rsidP="00641095">
      <w:pPr>
        <w:pStyle w:val="Akapitzlist"/>
        <w:numPr>
          <w:ilvl w:val="0"/>
          <w:numId w:val="18"/>
        </w:numPr>
      </w:pPr>
      <w:r w:rsidRPr="000C3448">
        <w:rPr>
          <w:b/>
        </w:rPr>
        <w:t>Znak „TUV RHEINLAND”</w:t>
      </w:r>
      <w:r>
        <w:t xml:space="preserve"> jest to certyfikacja, która informuje, iż urządzenie komputerowe spełnia normę MPRII oraz normę ISO9241/3.</w:t>
      </w:r>
    </w:p>
    <w:p w:rsidR="002509A4" w:rsidRDefault="002509A4" w:rsidP="00641095">
      <w:pPr>
        <w:pStyle w:val="Akapitzlist"/>
        <w:numPr>
          <w:ilvl w:val="0"/>
          <w:numId w:val="18"/>
        </w:numPr>
      </w:pPr>
      <w:r w:rsidRPr="000C3448">
        <w:rPr>
          <w:b/>
        </w:rPr>
        <w:t>Znak „GS”</w:t>
      </w:r>
      <w:r>
        <w:t xml:space="preserve"> to certyfikat, który potwierdza normy bezpieczeństwa oraz ochrony zdrowia pracownika, ergonomicznego projektowania urządzeń.</w:t>
      </w:r>
    </w:p>
    <w:p w:rsidR="003C3B2C" w:rsidRDefault="003C3B2C" w:rsidP="00641095">
      <w:pPr>
        <w:pStyle w:val="Akapitzlist"/>
        <w:numPr>
          <w:ilvl w:val="0"/>
          <w:numId w:val="18"/>
        </w:numPr>
      </w:pPr>
      <w:r w:rsidRPr="000C3448">
        <w:rPr>
          <w:b/>
        </w:rPr>
        <w:t>ISO 50001</w:t>
      </w:r>
      <w:r>
        <w:t xml:space="preserve"> - „Systemy zarządzania energią. Wymagania i zalecenia użytkowania." wprowadza oraz opisuje pojęcie zarządzania energią stawiając za cel efektywne gospodarowanie energią w każdej formie. Określa wymagania dla systemu zarządzania energią, które pozwolą przedsiębiorstwu na systematyczne dążenie do ciągłej poprawy efektywności użytkowania energii, biorąc pod uwagę uwarunkowania prawne i inne wymagania, które przedsiębiorstwo powinno spełniać. System zarządzania energią jest szczególnie istotny w energochłonnej gałęzi przemysłu lub w przypadku konieczności sprostania wymaganiom i regulacjom dotyczącym emisji gazów cieplarnianych. Norma może funkcjonować niezależnie lub może być zintegrowana z innymi systemami zarządzania.</w:t>
      </w:r>
    </w:p>
    <w:p w:rsidR="003C3B2C" w:rsidRDefault="003C3B2C" w:rsidP="00641095">
      <w:pPr>
        <w:pStyle w:val="Akapitzlist"/>
        <w:numPr>
          <w:ilvl w:val="0"/>
          <w:numId w:val="18"/>
        </w:numPr>
      </w:pPr>
      <w:r w:rsidRPr="000C3448">
        <w:rPr>
          <w:b/>
        </w:rPr>
        <w:t>Raport głośności</w:t>
      </w:r>
      <w:r>
        <w:t xml:space="preserve"> - raport według normy ISO 9296,  mierzony według ISO 7779. Certyfikat wystawiony przez niezależną akredytowaną jednostkę na podstawie wykonanych testów.</w:t>
      </w:r>
    </w:p>
    <w:p w:rsidR="003C3B2C" w:rsidRDefault="003C3B2C" w:rsidP="00641095">
      <w:pPr>
        <w:pStyle w:val="Akapitzlist"/>
        <w:numPr>
          <w:ilvl w:val="0"/>
          <w:numId w:val="18"/>
        </w:numPr>
      </w:pPr>
      <w:r w:rsidRPr="000C3448">
        <w:rPr>
          <w:b/>
        </w:rPr>
        <w:t>Certyfikat Energy Star</w:t>
      </w:r>
      <w:r>
        <w:t xml:space="preserve"> - Energy Star to znak ekologiczny umieszczany na energooszczędnych produktach. Pomaga konsumentom w identyfikacji energooszczędnych urządzeń już na etapie podejmowania decyzji o zakupie. Wyższa efektywność energetyczna produktów zgodnych ze standardem Energy Star gwarantuje efektywniejsze wykorzystanie energii elektrycznej. Efektywne wykorzystywanie energii elektrycznej, powoduje wymierne korzyści finansowe w postaci niższych rachunków. Produkty kwalifikowane jako zgodne z Energy Star to także produkty wytworzone z komponentów o wyższej jakości, zaprojektowany w przemyślany sposób.</w:t>
      </w:r>
    </w:p>
    <w:p w:rsidR="003C3B2C" w:rsidRDefault="003C3B2C" w:rsidP="00641095">
      <w:pPr>
        <w:pStyle w:val="Akapitzlist"/>
        <w:numPr>
          <w:ilvl w:val="0"/>
          <w:numId w:val="18"/>
        </w:numPr>
      </w:pPr>
      <w:r w:rsidRPr="000C3448">
        <w:rPr>
          <w:b/>
        </w:rPr>
        <w:lastRenderedPageBreak/>
        <w:t>Certyfikat EPEAT</w:t>
      </w:r>
      <w:r>
        <w:t xml:space="preserve"> - wszechstronny system wskaźnika ekologiczności, który wskazuje sprzęt elektroniczny spełniający określone kryteria z zakresu ochrony środowiska w połączeniu z wszechstronnymi kryteriami z zakresu produkcji, wykorzystania energii i recyklingu wraz z niezależną weryfikacją oraz roszczeniami producentów.</w:t>
      </w:r>
    </w:p>
    <w:p w:rsidR="003C3B2C" w:rsidRDefault="003C3B2C" w:rsidP="00641095">
      <w:pPr>
        <w:pStyle w:val="Akapitzlist"/>
        <w:numPr>
          <w:ilvl w:val="0"/>
          <w:numId w:val="18"/>
        </w:numPr>
      </w:pPr>
      <w:r w:rsidRPr="000C3448">
        <w:rPr>
          <w:b/>
        </w:rPr>
        <w:t xml:space="preserve">TCO </w:t>
      </w:r>
      <w:r>
        <w:t xml:space="preserve">– TCO </w:t>
      </w:r>
      <w:proofErr w:type="spellStart"/>
      <w:r>
        <w:t>Certified</w:t>
      </w:r>
      <w:proofErr w:type="spellEnd"/>
      <w:r>
        <w:t xml:space="preserve"> to wiodąca na świecie certyfikacja urządzeń elektronicznych w zakresie zrównoważonego rozwoju, która powstała 25 lat temu. Kryteria obejmują społecznie odpowiedzialną produkcję, ekologię, zdrowie i bezpieczeństwo użytkownika oraz ergonomiczną budowę. Wszystkie kryteria zostały określone z perspektywy cyklu życia produktu, który obejmuje produkcję, okres stosowania produktu oraz jego utylizację lub przywracanie po awarii. Urządzenia przechodzące proces certyfikacji oraz zakłady, w których są one produkowane, są niezależnie weryfikowane pod kątem zgodności z przepisami oraz inicjatyw firmy dotyczących zrównoważonego rozwoju. Certyfikat TCO jest przyznawany w ośmiu kategoriach produktów, w tym komputerów, projektorów i wyświetlaczy. TCO </w:t>
      </w:r>
      <w:proofErr w:type="spellStart"/>
      <w:r>
        <w:t>Certified</w:t>
      </w:r>
      <w:proofErr w:type="spellEnd"/>
      <w:r>
        <w:t xml:space="preserve"> to oznakowanie ekologiczne typu I zgodne z normą ISO 14024.</w:t>
      </w:r>
    </w:p>
    <w:p w:rsidR="000C3448" w:rsidRDefault="000C3448" w:rsidP="00641095">
      <w:pPr>
        <w:pStyle w:val="Akapitzlist"/>
        <w:numPr>
          <w:ilvl w:val="2"/>
          <w:numId w:val="18"/>
        </w:numPr>
      </w:pPr>
      <w:r>
        <w:t xml:space="preserve">TCO </w:t>
      </w:r>
      <w:proofErr w:type="spellStart"/>
      <w:r>
        <w:t>Certified</w:t>
      </w:r>
      <w:proofErr w:type="spellEnd"/>
      <w:r>
        <w:t xml:space="preserve"> pomaga konsumentom i producentom zmniejszyć ryzyko środowiskowe i społeczne oraz pomaga podjąć konkretne kroki w kierunku bardziej zrównoważonego cyklu życia urządzeń elektronicznych. Wiodący certyfikat zrównoważonego rozwoju IT. Kryteria zawarte w TCO zapewniają zrównoważony rozwój społeczny i środowiskowy w całym cyklu życia produktów. Obecnie większość produktów IT ma zbyt krótki proces użytkowania. Model przemysłowy gospodarki prowadzi do nadmiernego zużywania zasobów naturalnych, ludzkich i potężnych ilości e – odpadów. Certyfikacja TCO gwarantuje odpowiedzialną społecznie produkcję (zgodność z prawem, działania naprawcze, odpowiedzialne pozyskiwanie surowców naturalnych, mniejsze narażenie pracowników na działanie niekorzystnych substancji chemicznych), odpowiedzialną ekologicznie produkcję (zmniejszony wpływ produkcji – system zarządzania, zużycie energii), wydajność produktu (ergonomiczna konstrukcja, jakość, efektywność energetyczna produktu), przedłużenie żywotności produktu, zmniejszenie ilości substancji niebezpiecznych, odzyskiwanie materiałów (recykling).</w:t>
      </w:r>
    </w:p>
    <w:p w:rsidR="00E11983" w:rsidRDefault="000C3448" w:rsidP="00641095">
      <w:pPr>
        <w:pStyle w:val="Akapitzlist"/>
        <w:numPr>
          <w:ilvl w:val="0"/>
          <w:numId w:val="18"/>
        </w:numPr>
      </w:pPr>
      <w:r w:rsidRPr="009610DB">
        <w:rPr>
          <w:b/>
        </w:rPr>
        <w:t>Dla monitorów</w:t>
      </w:r>
      <w:r>
        <w:t xml:space="preserve"> - </w:t>
      </w:r>
      <w:r w:rsidRPr="009610DB">
        <w:rPr>
          <w:b/>
        </w:rPr>
        <w:t>Znak „TCO”</w:t>
      </w:r>
      <w:r>
        <w:t xml:space="preserve"> to certyfikat, potwierdzający spełnienie  kryteriów, takich jak: zmniejszony pobór mocy, niskie promieniowanie, zmniejszoną emisję </w:t>
      </w:r>
      <w:r>
        <w:lastRenderedPageBreak/>
        <w:t>ciepła, spełnienie wymogów ekologicznych, obsługę zaawansowanego zarządzania energią, zmniejszona emisję szumów, jakość obrazu oraz odwzorowania kolorów. Definiuje następujące parametry: czytelność i stabilność obrazu, odporność na zakłócenia zewnętrzne, emisję promieniowania, energooszczędność oraz bezpieczeństwo elektryczne. Certyfikat musi spełniać wymagania normy ISO 14024.</w:t>
      </w:r>
    </w:p>
    <w:p w:rsidR="00E11983" w:rsidRDefault="00E11983" w:rsidP="00E11983">
      <w:pPr>
        <w:pStyle w:val="Nagwek1"/>
      </w:pPr>
    </w:p>
    <w:p w:rsidR="000C3448" w:rsidRDefault="00E11983" w:rsidP="00E11983">
      <w:pPr>
        <w:pStyle w:val="Nagwek1"/>
        <w:ind w:firstLine="284"/>
      </w:pPr>
      <w:bookmarkStart w:id="23" w:name="_Toc62214607"/>
      <w:r w:rsidRPr="00E11983">
        <w:t>6.</w:t>
      </w:r>
      <w:r>
        <w:t xml:space="preserve"> </w:t>
      </w:r>
      <w:r w:rsidR="009E6E60">
        <w:t>Przykładowe k</w:t>
      </w:r>
      <w:r w:rsidR="000C3448">
        <w:t xml:space="preserve">ryteria równoważności dla </w:t>
      </w:r>
      <w:r w:rsidR="009E6E60">
        <w:t xml:space="preserve">niektórych </w:t>
      </w:r>
      <w:r w:rsidR="000C3448">
        <w:t>certyfikatów i norm</w:t>
      </w:r>
      <w:bookmarkEnd w:id="23"/>
    </w:p>
    <w:p w:rsidR="000C3448" w:rsidRDefault="000C3448" w:rsidP="000C3448">
      <w:r>
        <w:t>Zamawiający określa kryteria równoważności dla wymaganych w postępowaniu certyfikatów i norm. Poniżej podajemy przykładowe kryteria równoważności dla wybranych norm.</w:t>
      </w:r>
    </w:p>
    <w:p w:rsidR="000C3448" w:rsidRPr="000C3448" w:rsidRDefault="000C3448" w:rsidP="000C3448">
      <w:pPr>
        <w:rPr>
          <w:b/>
        </w:rPr>
      </w:pPr>
      <w:r w:rsidRPr="000C3448">
        <w:rPr>
          <w:b/>
        </w:rPr>
        <w:t>TCO</w:t>
      </w:r>
    </w:p>
    <w:p w:rsidR="000C3448" w:rsidRDefault="000C3448" w:rsidP="00641095">
      <w:pPr>
        <w:pStyle w:val="Akapitzlist"/>
        <w:numPr>
          <w:ilvl w:val="0"/>
          <w:numId w:val="20"/>
        </w:numPr>
      </w:pPr>
      <w:r>
        <w:t>Wydajność energetyczna (obowiązująca norma Energy Star lub EPEAT)</w:t>
      </w:r>
    </w:p>
    <w:p w:rsidR="000C3448" w:rsidRDefault="000C3448" w:rsidP="00641095">
      <w:pPr>
        <w:pStyle w:val="Akapitzlist"/>
        <w:numPr>
          <w:ilvl w:val="0"/>
          <w:numId w:val="20"/>
        </w:numPr>
      </w:pPr>
      <w:r>
        <w:t xml:space="preserve">Zmniejszenie występowania niebezpiecznych substancji (kadm, rtęć, ołów i chrom sześciowartościowy, PBDE, PBB) – ROHS. Spełnieniem tego będzie przedstawienie </w:t>
      </w:r>
      <w:r w:rsidRPr="00641095">
        <w:rPr>
          <w:b/>
        </w:rPr>
        <w:t>CERTYFIKATU</w:t>
      </w:r>
      <w:r>
        <w:t xml:space="preserve"> wystawionego przez niezależną, akredytowaną jednostkę, potwierdzającego zgodność urządzeń komputerowych z dyrektywą </w:t>
      </w:r>
      <w:proofErr w:type="spellStart"/>
      <w:r>
        <w:t>RoHS</w:t>
      </w:r>
      <w:proofErr w:type="spellEnd"/>
      <w:r>
        <w:t xml:space="preserve"> – (ang. </w:t>
      </w:r>
      <w:proofErr w:type="spellStart"/>
      <w:r>
        <w:t>Restriction</w:t>
      </w:r>
      <w:proofErr w:type="spellEnd"/>
      <w:r>
        <w:t xml:space="preserve"> of </w:t>
      </w:r>
      <w:proofErr w:type="spellStart"/>
      <w:r>
        <w:t>Hazardous</w:t>
      </w:r>
      <w:proofErr w:type="spellEnd"/>
      <w:r>
        <w:t xml:space="preserve"> </w:t>
      </w:r>
      <w:proofErr w:type="spellStart"/>
      <w:r>
        <w:t>Substances</w:t>
      </w:r>
      <w:proofErr w:type="spellEnd"/>
      <w:r>
        <w:t>), z 27 stycznia 2003 roku (2002/95/EC), wprowadzoną w życie 1 lipca 2006 roku, dyrektywa ta została transponowana do Polski Rozporządzeniem Ministra Gospodarki z dnia 27 marca 2007 roku w sprawie szczegółowych wymagań dotyczących ograniczenia wykorzystywania w sprzęcie elektronicznym i elektrycznym niektórych substancji mogących negatywnie oddziaływać na środowisko (Dz. U. nr 69, poz. 457) – ostatnia aktualizacja - Dz.U. 2019 poz. 1277 - Rozporządzenie Ministra Przedsiębiorczości i Technologii z dnia 24 czerwca 2019 r. zmieniające rozporządzenie w sprawie zasadniczych wymagań dotyczących ograniczenia stosowania niektórych niebezpiecznych substancji w sprzęcie elektrycznym i elektronicznym</w:t>
      </w:r>
    </w:p>
    <w:p w:rsidR="000C3448" w:rsidRDefault="000C3448" w:rsidP="00641095">
      <w:pPr>
        <w:pStyle w:val="Akapitzlist"/>
        <w:numPr>
          <w:ilvl w:val="0"/>
          <w:numId w:val="20"/>
        </w:numPr>
      </w:pPr>
      <w:r>
        <w:t xml:space="preserve">Ergonomiczna konstrukcja, jakość obrazu, możliwość regulacji i dostosowania środowiska pracy – równoważnie przedstawienie CERTYFIKATU wystawionego </w:t>
      </w:r>
      <w:r>
        <w:lastRenderedPageBreak/>
        <w:t>przez niezależną, akredytowaną jednostkę, potwierdzającego zgodność urządzenia z ISO 9241 lub TUV lub TUV Ergo.</w:t>
      </w:r>
    </w:p>
    <w:p w:rsidR="000C3448" w:rsidRDefault="000C3448" w:rsidP="00641095">
      <w:pPr>
        <w:pStyle w:val="Akapitzlist"/>
        <w:numPr>
          <w:ilvl w:val="0"/>
          <w:numId w:val="20"/>
        </w:numPr>
      </w:pPr>
      <w:r>
        <w:t>Przedłużenie żywotności produktu - Certyfikacja w oparciu o zdefiniowane kategorie parametrów dla danego sektora przemysłu lub usług oraz o analizę cyklu życia produktu na podstawie ISO 14040 przyznawane przez niezależną organizację.</w:t>
      </w:r>
    </w:p>
    <w:p w:rsidR="000C3448" w:rsidRDefault="000C3448" w:rsidP="00641095">
      <w:pPr>
        <w:pStyle w:val="Akapitzlist"/>
        <w:numPr>
          <w:ilvl w:val="0"/>
          <w:numId w:val="20"/>
        </w:numPr>
      </w:pPr>
      <w:r>
        <w:t>Zmniejszony wpływ produkcji – system zarządzania, zużycie energii. Za równoważne uznaje się przedstawienie certyfikatu ISO 50001.</w:t>
      </w:r>
    </w:p>
    <w:p w:rsidR="000C3448" w:rsidRDefault="00641095" w:rsidP="00641095">
      <w:pPr>
        <w:pStyle w:val="Akapitzlist"/>
        <w:numPr>
          <w:ilvl w:val="0"/>
          <w:numId w:val="20"/>
        </w:numPr>
      </w:pPr>
      <w:r>
        <w:t>Z</w:t>
      </w:r>
      <w:r w:rsidR="000C3448">
        <w:t xml:space="preserve">drowie i bezpieczeństwo użytkowników: </w:t>
      </w:r>
    </w:p>
    <w:p w:rsidR="000C3448" w:rsidRDefault="000C3448" w:rsidP="00641095">
      <w:pPr>
        <w:pStyle w:val="Akapitzlist"/>
        <w:numPr>
          <w:ilvl w:val="2"/>
          <w:numId w:val="20"/>
        </w:numPr>
      </w:pPr>
      <w:r>
        <w:t>pola elektryczne i magnetyczne na podstawie normy IEEE C95.1 – 2019</w:t>
      </w:r>
    </w:p>
    <w:p w:rsidR="000C3448" w:rsidRDefault="000C3448" w:rsidP="00641095">
      <w:pPr>
        <w:pStyle w:val="Akapitzlist"/>
        <w:numPr>
          <w:ilvl w:val="2"/>
          <w:numId w:val="20"/>
        </w:numPr>
      </w:pPr>
      <w:r>
        <w:t>ograniczony poziom hałasu wykazany według normy ISO 9296, mierzony według ISO 7779. Certyfikat wystawiony przez niezależną akredytowaną jednostkę na podstawie wykonanych testów.</w:t>
      </w:r>
    </w:p>
    <w:p w:rsidR="000C3448" w:rsidRPr="000C3448" w:rsidRDefault="000C3448" w:rsidP="000C3448">
      <w:pPr>
        <w:rPr>
          <w:b/>
        </w:rPr>
      </w:pPr>
      <w:r w:rsidRPr="000C3448">
        <w:rPr>
          <w:b/>
        </w:rPr>
        <w:t>Energy Star</w:t>
      </w:r>
    </w:p>
    <w:p w:rsidR="000C3448" w:rsidRDefault="000C3448" w:rsidP="000C3448">
      <w:r w:rsidRPr="000C3448">
        <w:t>Certyfikat wystawiony przez niezależną, akredytowaną jednostkę badawczą, który</w:t>
      </w:r>
      <w:r>
        <w:t xml:space="preserve"> </w:t>
      </w:r>
      <w:r w:rsidRPr="000C3448">
        <w:t>potwierdza roczne zużycie energii ogółem, według ROZPORZĄDZENIA</w:t>
      </w:r>
      <w:r>
        <w:t xml:space="preserve"> KOMISJI (UE) NR 617/2013. O</w:t>
      </w:r>
      <w:r w:rsidRPr="000C3448">
        <w:t>znacza to energię elektryczną zużytą przez produkt w określonych okresach w ramach zdefiniowanych trybów i stanów poboru mocy</w:t>
      </w:r>
      <w:r>
        <w:t>.</w:t>
      </w:r>
    </w:p>
    <w:p w:rsidR="00641095" w:rsidRDefault="00641095" w:rsidP="000C3448">
      <w:pPr>
        <w:rPr>
          <w:b/>
        </w:rPr>
      </w:pPr>
    </w:p>
    <w:p w:rsidR="000C3448" w:rsidRPr="000C3448" w:rsidRDefault="000C3448" w:rsidP="000C3448">
      <w:pPr>
        <w:rPr>
          <w:b/>
        </w:rPr>
      </w:pPr>
      <w:r w:rsidRPr="000C3448">
        <w:rPr>
          <w:b/>
        </w:rPr>
        <w:t>EPEAT</w:t>
      </w:r>
    </w:p>
    <w:p w:rsidR="000C3448" w:rsidRDefault="000C3448" w:rsidP="00641095">
      <w:pPr>
        <w:pStyle w:val="Akapitzlist"/>
        <w:numPr>
          <w:ilvl w:val="0"/>
          <w:numId w:val="16"/>
        </w:numPr>
      </w:pPr>
      <w:r>
        <w:t xml:space="preserve">wystawiony przez niezależną, akredytowaną jednostkę badawczą, który potwierdza: </w:t>
      </w:r>
    </w:p>
    <w:p w:rsidR="000C3448" w:rsidRDefault="000C3448" w:rsidP="00641095">
      <w:pPr>
        <w:pStyle w:val="Akapitzlist"/>
        <w:numPr>
          <w:ilvl w:val="0"/>
          <w:numId w:val="16"/>
        </w:numPr>
      </w:pPr>
      <w:r>
        <w:t xml:space="preserve">Efektywność energetyczna i żywotność baterii </w:t>
      </w:r>
    </w:p>
    <w:p w:rsidR="000C3448" w:rsidRDefault="000C3448" w:rsidP="00641095">
      <w:pPr>
        <w:pStyle w:val="Akapitzlist"/>
        <w:numPr>
          <w:ilvl w:val="0"/>
          <w:numId w:val="16"/>
        </w:numPr>
      </w:pPr>
      <w:r>
        <w:t xml:space="preserve">Kryteria podstawowe GPP w UE: ST1 i KU1 / kryteria kompleksowe: KU5 dla danego urządzenia komputerowego wg. wytycznych  zawartych w Rozporządzeniu (EU) nr 617/2013. </w:t>
      </w:r>
    </w:p>
    <w:p w:rsidR="000C3448" w:rsidRDefault="000C3448" w:rsidP="00641095">
      <w:pPr>
        <w:pStyle w:val="Akapitzlist"/>
        <w:numPr>
          <w:ilvl w:val="0"/>
          <w:numId w:val="16"/>
        </w:numPr>
      </w:pPr>
      <w:r>
        <w:t>Lista substancji wzbudzających szczególnie duże obawy (SVHC) w stężeniu większym niż 0,1 % (w/w)</w:t>
      </w:r>
    </w:p>
    <w:p w:rsidR="000C3448" w:rsidRDefault="000C3448" w:rsidP="00641095">
      <w:pPr>
        <w:pStyle w:val="Akapitzlist"/>
        <w:numPr>
          <w:ilvl w:val="0"/>
          <w:numId w:val="16"/>
        </w:numPr>
      </w:pPr>
      <w:r>
        <w:t>Kryteria podstawowe GPP w UE: ST3 / kryteria kompleksowe: ST4  dla danego urządzenia komputerowego wg. wytycznych  zawartych  w Rozporządzeniu REACH (WE) nr 1907/2009</w:t>
      </w:r>
      <w:r w:rsidR="00E11983">
        <w:t>.</w:t>
      </w:r>
    </w:p>
    <w:p w:rsidR="00E11983" w:rsidRDefault="00E11983" w:rsidP="000C3448">
      <w:pPr>
        <w:ind w:left="708" w:firstLine="0"/>
      </w:pPr>
    </w:p>
    <w:p w:rsidR="00E11983" w:rsidRDefault="00E11983" w:rsidP="00E11983">
      <w:pPr>
        <w:pStyle w:val="Nagwek4"/>
      </w:pPr>
      <w:r>
        <w:lastRenderedPageBreak/>
        <w:t>Organizacj</w:t>
      </w:r>
      <w:r w:rsidR="00EA4E8D">
        <w:t>e</w:t>
      </w:r>
      <w:r>
        <w:t xml:space="preserve"> potwierdzające równoważność:</w:t>
      </w:r>
    </w:p>
    <w:p w:rsidR="00E11983" w:rsidRDefault="00E11983" w:rsidP="00E11983">
      <w:r>
        <w:t>Wykaz przykładowych organizacji, w których można uzyskać potwierdzenie spełnienia wybranych przez zamawiającego kryteriów równoważnych:</w:t>
      </w:r>
    </w:p>
    <w:p w:rsidR="00E11983" w:rsidRDefault="00E11983" w:rsidP="00641095">
      <w:pPr>
        <w:pStyle w:val="Akapitzlist"/>
        <w:numPr>
          <w:ilvl w:val="0"/>
          <w:numId w:val="21"/>
        </w:numPr>
        <w:ind w:left="709"/>
      </w:pPr>
      <w:r>
        <w:t xml:space="preserve">TÜV </w:t>
      </w:r>
      <w:proofErr w:type="spellStart"/>
      <w:r>
        <w:t>Rheinland</w:t>
      </w:r>
      <w:proofErr w:type="spellEnd"/>
      <w:r>
        <w:t xml:space="preserve"> Polska Sp. z o.o.</w:t>
      </w:r>
    </w:p>
    <w:p w:rsidR="00E11983" w:rsidRPr="00641095" w:rsidRDefault="00C04514" w:rsidP="00641095">
      <w:pPr>
        <w:pStyle w:val="Akapitzlist"/>
        <w:numPr>
          <w:ilvl w:val="0"/>
          <w:numId w:val="21"/>
        </w:numPr>
        <w:ind w:left="709"/>
        <w:rPr>
          <w:lang w:val="en-US"/>
        </w:rPr>
      </w:pPr>
      <w:r w:rsidRPr="00641095">
        <w:rPr>
          <w:lang w:val="en-US"/>
        </w:rPr>
        <w:t>DEKRA Certification Sp. z o.o.</w:t>
      </w:r>
    </w:p>
    <w:p w:rsidR="00E11983" w:rsidRDefault="00E11983" w:rsidP="00641095">
      <w:pPr>
        <w:pStyle w:val="Akapitzlist"/>
        <w:numPr>
          <w:ilvl w:val="0"/>
          <w:numId w:val="21"/>
        </w:numPr>
        <w:ind w:left="709"/>
      </w:pPr>
      <w:proofErr w:type="spellStart"/>
      <w:r>
        <w:t>Ekolab</w:t>
      </w:r>
      <w:proofErr w:type="spellEnd"/>
      <w:r>
        <w:t xml:space="preserve"> Sp z o.o.</w:t>
      </w:r>
    </w:p>
    <w:p w:rsidR="00E11983" w:rsidRDefault="00E11983" w:rsidP="00641095">
      <w:pPr>
        <w:pStyle w:val="Akapitzlist"/>
        <w:numPr>
          <w:ilvl w:val="0"/>
          <w:numId w:val="21"/>
        </w:numPr>
        <w:ind w:left="709"/>
      </w:pPr>
      <w:r>
        <w:t xml:space="preserve">Instytut Techniki Górniczej </w:t>
      </w:r>
      <w:proofErr w:type="spellStart"/>
      <w:r>
        <w:t>Komag</w:t>
      </w:r>
      <w:proofErr w:type="spellEnd"/>
      <w:r>
        <w:t xml:space="preserve"> Instytut Badawczy</w:t>
      </w:r>
    </w:p>
    <w:p w:rsidR="00E11983" w:rsidRDefault="00E11983" w:rsidP="00E11983">
      <w:r>
        <w:t>Lista jed</w:t>
      </w:r>
      <w:r w:rsidR="00011722">
        <w:t>nostek certyfikujących dostępna</w:t>
      </w:r>
      <w:r>
        <w:t xml:space="preserve"> i aktualizowana na stronie internetowej Polskiego Centrum Akredytacji.</w:t>
      </w:r>
    </w:p>
    <w:p w:rsidR="003A2F98" w:rsidRPr="00E11983" w:rsidRDefault="003A2F98" w:rsidP="00E11983"/>
    <w:p w:rsidR="000C3448" w:rsidRDefault="00E11983" w:rsidP="00E11983">
      <w:pPr>
        <w:pStyle w:val="Nagwek1"/>
        <w:ind w:firstLine="284"/>
      </w:pPr>
      <w:bookmarkStart w:id="24" w:name="_Toc62214608"/>
      <w:r>
        <w:t>7. Bezpieczeństwo urządzeń</w:t>
      </w:r>
      <w:bookmarkEnd w:id="24"/>
    </w:p>
    <w:p w:rsidR="00E11983" w:rsidRDefault="00E11983" w:rsidP="00E11983">
      <w:r>
        <w:t>Komputery mogą stać się celem cyberataków, kradzieży danych i niewłaściwego wykorzystania danych</w:t>
      </w:r>
      <w:r w:rsidR="00C2459D">
        <w:t>,</w:t>
      </w:r>
      <w:r>
        <w:t xml:space="preserve"> jak i kradzieży samego komputera. Takie ataki/kradzieże mogą zagrozić poufności, dostępności i integralności przetwarzanych danych przechowywanych w komputerach, a także wpłynąć na funkcjonowanie samych komputerów. </w:t>
      </w:r>
    </w:p>
    <w:p w:rsidR="00E11983" w:rsidRPr="00E11983" w:rsidRDefault="00E11983" w:rsidP="00E11983">
      <w:r>
        <w:t>Rekomenduje się, aby w opisie przedmiotu zamówienia, w razie stwierdzenia takiej potrzeby przez Zamawiającego, wymagać wybranych zabezpieczeń sprzętu komputerowego spośród poniżej wskazanych:</w:t>
      </w:r>
    </w:p>
    <w:p w:rsidR="00E11983" w:rsidRDefault="00E11983" w:rsidP="00641095">
      <w:pPr>
        <w:pStyle w:val="Akapitzlist"/>
        <w:numPr>
          <w:ilvl w:val="0"/>
          <w:numId w:val="17"/>
        </w:numPr>
      </w:pPr>
      <w:r>
        <w:t xml:space="preserve">mechaniczna ochronę przed kradzieżą – uchwyty, kłódki, zamki, linki itp. </w:t>
      </w:r>
    </w:p>
    <w:p w:rsidR="00E11983" w:rsidRDefault="00E11983" w:rsidP="00641095">
      <w:pPr>
        <w:pStyle w:val="Akapitzlist"/>
        <w:numPr>
          <w:ilvl w:val="0"/>
          <w:numId w:val="17"/>
        </w:numPr>
      </w:pPr>
      <w:r>
        <w:t xml:space="preserve">moduł TPM, ukryty w laminacie płyty głównej - nie rekomenduje się TPM jako moduł wpinany do płyty głównej </w:t>
      </w:r>
    </w:p>
    <w:p w:rsidR="00E11983" w:rsidRDefault="00E11983" w:rsidP="00641095">
      <w:pPr>
        <w:pStyle w:val="Akapitzlist"/>
        <w:numPr>
          <w:ilvl w:val="0"/>
          <w:numId w:val="17"/>
        </w:numPr>
      </w:pPr>
      <w:r>
        <w:t xml:space="preserve">stosowanie dysków </w:t>
      </w:r>
      <w:proofErr w:type="spellStart"/>
      <w:r>
        <w:t>samoszyfrujących</w:t>
      </w:r>
      <w:proofErr w:type="spellEnd"/>
      <w:r>
        <w:t xml:space="preserve"> </w:t>
      </w:r>
    </w:p>
    <w:p w:rsidR="00E11983" w:rsidRDefault="00E11983" w:rsidP="00641095">
      <w:pPr>
        <w:pStyle w:val="Akapitzlist"/>
        <w:numPr>
          <w:ilvl w:val="0"/>
          <w:numId w:val="17"/>
        </w:numPr>
      </w:pPr>
      <w:r>
        <w:t xml:space="preserve">możliwość ustawienia hasła dla BIOS </w:t>
      </w:r>
    </w:p>
    <w:p w:rsidR="00E11983" w:rsidRDefault="00E11983" w:rsidP="00641095">
      <w:pPr>
        <w:pStyle w:val="Akapitzlist"/>
        <w:numPr>
          <w:ilvl w:val="0"/>
          <w:numId w:val="17"/>
        </w:numPr>
      </w:pPr>
      <w:r>
        <w:t xml:space="preserve">stosowanie zarządzania zdalnego, umożliwiającego min. kontrolę nad komputerem na odległość, w codziennej pracy jak i również w przypadku kradzieży np. wydanie polecenia kasowania danych. </w:t>
      </w:r>
    </w:p>
    <w:p w:rsidR="00E11983" w:rsidRDefault="00E11983" w:rsidP="00641095">
      <w:pPr>
        <w:pStyle w:val="Akapitzlist"/>
        <w:numPr>
          <w:ilvl w:val="0"/>
          <w:numId w:val="17"/>
        </w:numPr>
      </w:pPr>
      <w:r>
        <w:t xml:space="preserve">wielopoziomowa autentykacja – inteligentna karta (smart </w:t>
      </w:r>
      <w:proofErr w:type="spellStart"/>
      <w:r>
        <w:t>card</w:t>
      </w:r>
      <w:proofErr w:type="spellEnd"/>
      <w:r>
        <w:t xml:space="preserve">), odcisk palca, inne dane biometryczne, pin, rozpoznawanie twarzy itp. </w:t>
      </w:r>
    </w:p>
    <w:p w:rsidR="00E11983" w:rsidRDefault="00E11983" w:rsidP="00641095">
      <w:pPr>
        <w:pStyle w:val="Akapitzlist"/>
        <w:numPr>
          <w:ilvl w:val="0"/>
          <w:numId w:val="17"/>
        </w:numPr>
      </w:pPr>
      <w:r>
        <w:t>filtr prywatyzujący – montowane na matrycy lub wbudowany w matrycę komputera przenośnego.</w:t>
      </w:r>
    </w:p>
    <w:p w:rsidR="00E11983" w:rsidRDefault="00E11983" w:rsidP="00641095">
      <w:pPr>
        <w:pStyle w:val="Akapitzlist"/>
        <w:numPr>
          <w:ilvl w:val="0"/>
          <w:numId w:val="17"/>
        </w:numPr>
      </w:pPr>
      <w:r>
        <w:lastRenderedPageBreak/>
        <w:t xml:space="preserve">stosowanie oprogramowania realizującego zabezpieczenie danych oraz ochrony danych w tym danych osobowych, szyfrowanie danych, z dostosowaniem używanego komputera oraz oprogramowania do regulacji RODO. Oprogramowanie takie musi oferować min.: </w:t>
      </w:r>
    </w:p>
    <w:p w:rsidR="00E11983" w:rsidRDefault="00E11983" w:rsidP="00641095">
      <w:pPr>
        <w:pStyle w:val="Akapitzlist"/>
        <w:numPr>
          <w:ilvl w:val="2"/>
          <w:numId w:val="17"/>
        </w:numPr>
      </w:pPr>
      <w:r>
        <w:t xml:space="preserve">możliwość szyfrowania plików </w:t>
      </w:r>
    </w:p>
    <w:p w:rsidR="00E11983" w:rsidRDefault="00E11983" w:rsidP="00641095">
      <w:pPr>
        <w:pStyle w:val="Akapitzlist"/>
        <w:numPr>
          <w:ilvl w:val="2"/>
          <w:numId w:val="17"/>
        </w:numPr>
      </w:pPr>
      <w:r>
        <w:t xml:space="preserve">możliwość szyfrowania folderów </w:t>
      </w:r>
    </w:p>
    <w:p w:rsidR="00E11983" w:rsidRDefault="00E11983" w:rsidP="00641095">
      <w:pPr>
        <w:pStyle w:val="Akapitzlist"/>
        <w:numPr>
          <w:ilvl w:val="2"/>
          <w:numId w:val="17"/>
        </w:numPr>
      </w:pPr>
      <w:r>
        <w:t xml:space="preserve">możliwość odzyskiwania plików </w:t>
      </w:r>
    </w:p>
    <w:p w:rsidR="00E11983" w:rsidRDefault="00E11983" w:rsidP="00641095">
      <w:pPr>
        <w:pStyle w:val="Akapitzlist"/>
        <w:numPr>
          <w:ilvl w:val="2"/>
          <w:numId w:val="17"/>
        </w:numPr>
      </w:pPr>
      <w:r>
        <w:t xml:space="preserve">zaszyfrowane przesyłanie plików </w:t>
      </w:r>
    </w:p>
    <w:p w:rsidR="00E11983" w:rsidRDefault="00E11983" w:rsidP="00641095">
      <w:pPr>
        <w:pStyle w:val="Akapitzlist"/>
        <w:numPr>
          <w:ilvl w:val="2"/>
          <w:numId w:val="17"/>
        </w:numPr>
      </w:pPr>
      <w:r>
        <w:t xml:space="preserve">szyfrowanie end to end </w:t>
      </w:r>
    </w:p>
    <w:p w:rsidR="00E11983" w:rsidRDefault="00E11983" w:rsidP="00641095">
      <w:pPr>
        <w:pStyle w:val="Akapitzlist"/>
        <w:numPr>
          <w:ilvl w:val="2"/>
          <w:numId w:val="17"/>
        </w:numPr>
      </w:pPr>
      <w:r>
        <w:t xml:space="preserve">możliwość zabezpieczonego współdzielenia danych </w:t>
      </w:r>
    </w:p>
    <w:p w:rsidR="00E11983" w:rsidRDefault="00E11983" w:rsidP="00641095">
      <w:pPr>
        <w:pStyle w:val="Akapitzlist"/>
        <w:numPr>
          <w:ilvl w:val="2"/>
          <w:numId w:val="17"/>
        </w:numPr>
      </w:pPr>
      <w:r>
        <w:t xml:space="preserve">możliwość szyfrowania plików zarchiwizowanych </w:t>
      </w:r>
    </w:p>
    <w:p w:rsidR="00E11983" w:rsidRDefault="00E11983" w:rsidP="00641095">
      <w:pPr>
        <w:pStyle w:val="Akapitzlist"/>
        <w:numPr>
          <w:ilvl w:val="2"/>
          <w:numId w:val="17"/>
        </w:numPr>
      </w:pPr>
      <w:r>
        <w:t xml:space="preserve">możliwość szyfrowania </w:t>
      </w:r>
      <w:proofErr w:type="spellStart"/>
      <w:r>
        <w:t>back’up</w:t>
      </w:r>
      <w:proofErr w:type="spellEnd"/>
      <w:r>
        <w:t xml:space="preserve"> </w:t>
      </w:r>
    </w:p>
    <w:p w:rsidR="00E11983" w:rsidRDefault="00E11983" w:rsidP="00641095">
      <w:pPr>
        <w:pStyle w:val="Akapitzlist"/>
        <w:numPr>
          <w:ilvl w:val="2"/>
          <w:numId w:val="17"/>
        </w:numPr>
      </w:pPr>
      <w:r>
        <w:t xml:space="preserve">możliwość śledzenia historii przetwarzania oraz rozliczania przez administratora danych osobowych </w:t>
      </w:r>
    </w:p>
    <w:p w:rsidR="00E11983" w:rsidRDefault="00E11983" w:rsidP="00641095">
      <w:pPr>
        <w:pStyle w:val="Akapitzlist"/>
        <w:numPr>
          <w:ilvl w:val="2"/>
          <w:numId w:val="17"/>
        </w:numPr>
      </w:pPr>
      <w:r>
        <w:t xml:space="preserve">brak możliwości dostępu do szyfrowanych danych przez producenta narzędzia szyfrującego </w:t>
      </w:r>
    </w:p>
    <w:p w:rsidR="00E11983" w:rsidRDefault="00E11983" w:rsidP="00641095">
      <w:pPr>
        <w:pStyle w:val="Akapitzlist"/>
        <w:numPr>
          <w:ilvl w:val="2"/>
          <w:numId w:val="17"/>
        </w:numPr>
      </w:pPr>
      <w:r>
        <w:t>możliwość zablokowania dostępu do szyfrowanych danych administratorowi sieci IT.</w:t>
      </w:r>
    </w:p>
    <w:p w:rsidR="000C3448" w:rsidRPr="003C3B2C" w:rsidRDefault="00E11983" w:rsidP="00EC039D">
      <w:pPr>
        <w:pStyle w:val="Akapitzlist"/>
        <w:numPr>
          <w:ilvl w:val="0"/>
          <w:numId w:val="17"/>
        </w:numPr>
      </w:pPr>
      <w:r>
        <w:t>wbudowany system diagnostyczny umożliwiający przetestowanie komponentów komputera w zakresie m.in.: procesor, płyta główna, pamięć RAM, dysk twardy oraz dla notebooka test baterii. Taki system musi działać niezależnie od obecności dysku twardego, dostępu do sieci i Internetu oraz bez konieczności stosowania urządzeń zewnętrznych</w:t>
      </w:r>
      <w:r w:rsidR="009A7CBA">
        <w:t>.</w:t>
      </w:r>
      <w:bookmarkStart w:id="25" w:name="_GoBack"/>
      <w:bookmarkEnd w:id="25"/>
    </w:p>
    <w:sectPr w:rsidR="000C3448" w:rsidRPr="003C3B2C" w:rsidSect="008F6D72">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68B3A7" w16cid:durableId="23A709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376" w:rsidRDefault="001D2376" w:rsidP="00C85742">
      <w:pPr>
        <w:spacing w:after="0" w:line="240" w:lineRule="auto"/>
      </w:pPr>
      <w:r>
        <w:separator/>
      </w:r>
    </w:p>
  </w:endnote>
  <w:endnote w:type="continuationSeparator" w:id="0">
    <w:p w:rsidR="001D2376" w:rsidRDefault="001D2376" w:rsidP="00C85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83F" w:rsidRDefault="00A6183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3029601"/>
      <w:docPartObj>
        <w:docPartGallery w:val="Page Numbers (Bottom of Page)"/>
        <w:docPartUnique/>
      </w:docPartObj>
    </w:sdtPr>
    <w:sdtEndPr/>
    <w:sdtContent>
      <w:p w:rsidR="00A6183F" w:rsidRDefault="00A6183F">
        <w:pPr>
          <w:pStyle w:val="Stopka"/>
          <w:jc w:val="right"/>
        </w:pPr>
        <w:r>
          <w:fldChar w:fldCharType="begin"/>
        </w:r>
        <w:r>
          <w:instrText>PAGE   \* MERGEFORMAT</w:instrText>
        </w:r>
        <w:r>
          <w:fldChar w:fldCharType="separate"/>
        </w:r>
        <w:r w:rsidR="003A2F98">
          <w:rPr>
            <w:noProof/>
          </w:rPr>
          <w:t>34</w:t>
        </w:r>
        <w:r>
          <w:fldChar w:fldCharType="end"/>
        </w:r>
      </w:p>
    </w:sdtContent>
  </w:sdt>
  <w:p w:rsidR="00A6183F" w:rsidRDefault="00A6183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83F" w:rsidRDefault="00A618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376" w:rsidRDefault="001D2376" w:rsidP="00C85742">
      <w:pPr>
        <w:spacing w:after="0" w:line="240" w:lineRule="auto"/>
      </w:pPr>
      <w:r>
        <w:separator/>
      </w:r>
    </w:p>
  </w:footnote>
  <w:footnote w:type="continuationSeparator" w:id="0">
    <w:p w:rsidR="001D2376" w:rsidRDefault="001D2376" w:rsidP="00C857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83F" w:rsidRDefault="00A6183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83F" w:rsidRDefault="00A6183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83F" w:rsidRDefault="00A6183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83747"/>
    <w:multiLevelType w:val="hybridMultilevel"/>
    <w:tmpl w:val="B9683E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3E094D"/>
    <w:multiLevelType w:val="hybridMultilevel"/>
    <w:tmpl w:val="182CB04A"/>
    <w:lvl w:ilvl="0" w:tplc="BD9A38A4">
      <w:numFmt w:val="bullet"/>
      <w:lvlText w:val="•"/>
      <w:lvlJc w:val="left"/>
      <w:pPr>
        <w:ind w:left="1417" w:hanging="708"/>
      </w:pPr>
      <w:rPr>
        <w:rFonts w:ascii="Times New Roman" w:eastAsiaTheme="minorEastAsia"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0D7AE2"/>
    <w:multiLevelType w:val="hybridMultilevel"/>
    <w:tmpl w:val="1F542874"/>
    <w:lvl w:ilvl="0" w:tplc="BD9A38A4">
      <w:numFmt w:val="bullet"/>
      <w:lvlText w:val="•"/>
      <w:lvlJc w:val="left"/>
      <w:pPr>
        <w:ind w:left="2126" w:hanging="708"/>
      </w:pPr>
      <w:rPr>
        <w:rFonts w:ascii="Times New Roman" w:eastAsiaTheme="minorEastAsia"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14C32D16"/>
    <w:multiLevelType w:val="hybridMultilevel"/>
    <w:tmpl w:val="C5D40C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D577B3"/>
    <w:multiLevelType w:val="hybridMultilevel"/>
    <w:tmpl w:val="29864D3C"/>
    <w:lvl w:ilvl="0" w:tplc="BD9A38A4">
      <w:numFmt w:val="bullet"/>
      <w:lvlText w:val="•"/>
      <w:lvlJc w:val="left"/>
      <w:pPr>
        <w:ind w:left="2126" w:hanging="708"/>
      </w:pPr>
      <w:rPr>
        <w:rFonts w:ascii="Times New Roman" w:eastAsiaTheme="minorEastAsia" w:hAnsi="Times New Roman" w:cs="Times New Roman"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253650CF"/>
    <w:multiLevelType w:val="hybridMultilevel"/>
    <w:tmpl w:val="BFE40FE2"/>
    <w:lvl w:ilvl="0" w:tplc="BD9A38A4">
      <w:numFmt w:val="bullet"/>
      <w:lvlText w:val="•"/>
      <w:lvlJc w:val="left"/>
      <w:pPr>
        <w:ind w:left="1417" w:hanging="708"/>
      </w:pPr>
      <w:rPr>
        <w:rFonts w:ascii="Times New Roman" w:eastAsiaTheme="minorEastAsia"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AD5378"/>
    <w:multiLevelType w:val="hybridMultilevel"/>
    <w:tmpl w:val="DB5A8CD0"/>
    <w:lvl w:ilvl="0" w:tplc="BD9A38A4">
      <w:numFmt w:val="bullet"/>
      <w:lvlText w:val="•"/>
      <w:lvlJc w:val="left"/>
      <w:pPr>
        <w:ind w:left="1417" w:hanging="708"/>
      </w:pPr>
      <w:rPr>
        <w:rFonts w:ascii="Times New Roman" w:eastAsiaTheme="minorEastAsia"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A222678"/>
    <w:multiLevelType w:val="hybridMultilevel"/>
    <w:tmpl w:val="212C17B0"/>
    <w:lvl w:ilvl="0" w:tplc="BD9A38A4">
      <w:numFmt w:val="bullet"/>
      <w:lvlText w:val="•"/>
      <w:lvlJc w:val="left"/>
      <w:pPr>
        <w:ind w:left="2126" w:hanging="708"/>
      </w:pPr>
      <w:rPr>
        <w:rFonts w:ascii="Times New Roman" w:eastAsiaTheme="minorEastAsia"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2B61759B"/>
    <w:multiLevelType w:val="hybridMultilevel"/>
    <w:tmpl w:val="0B9CB6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C917D2B"/>
    <w:multiLevelType w:val="hybridMultilevel"/>
    <w:tmpl w:val="5D061432"/>
    <w:lvl w:ilvl="0" w:tplc="BD9A38A4">
      <w:numFmt w:val="bullet"/>
      <w:lvlText w:val="•"/>
      <w:lvlJc w:val="left"/>
      <w:pPr>
        <w:ind w:left="1417" w:hanging="708"/>
      </w:pPr>
      <w:rPr>
        <w:rFonts w:ascii="Times New Roman" w:eastAsiaTheme="minorEastAsia" w:hAnsi="Times New Roman" w:cs="Times New Roman"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2DB53F29"/>
    <w:multiLevelType w:val="hybridMultilevel"/>
    <w:tmpl w:val="9502F1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885B1E"/>
    <w:multiLevelType w:val="hybridMultilevel"/>
    <w:tmpl w:val="E23CAE9E"/>
    <w:lvl w:ilvl="0" w:tplc="BD9A38A4">
      <w:numFmt w:val="bullet"/>
      <w:lvlText w:val="•"/>
      <w:lvlJc w:val="left"/>
      <w:pPr>
        <w:ind w:left="2126" w:hanging="708"/>
      </w:pPr>
      <w:rPr>
        <w:rFonts w:ascii="Times New Roman" w:eastAsiaTheme="minorEastAsia"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357745E6"/>
    <w:multiLevelType w:val="hybridMultilevel"/>
    <w:tmpl w:val="91FCFD22"/>
    <w:lvl w:ilvl="0" w:tplc="BD9A38A4">
      <w:numFmt w:val="bullet"/>
      <w:lvlText w:val="•"/>
      <w:lvlJc w:val="left"/>
      <w:pPr>
        <w:ind w:left="2126" w:hanging="708"/>
      </w:pPr>
      <w:rPr>
        <w:rFonts w:ascii="Times New Roman" w:eastAsiaTheme="minorEastAsia"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3B4C190A"/>
    <w:multiLevelType w:val="hybridMultilevel"/>
    <w:tmpl w:val="84FE8DDE"/>
    <w:lvl w:ilvl="0" w:tplc="BD9A38A4">
      <w:numFmt w:val="bullet"/>
      <w:lvlText w:val="•"/>
      <w:lvlJc w:val="left"/>
      <w:pPr>
        <w:ind w:left="2126" w:hanging="708"/>
      </w:pPr>
      <w:rPr>
        <w:rFonts w:ascii="Times New Roman" w:eastAsiaTheme="minorEastAsia"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C733F0F"/>
    <w:multiLevelType w:val="multilevel"/>
    <w:tmpl w:val="98AA34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CCF0F82"/>
    <w:multiLevelType w:val="hybridMultilevel"/>
    <w:tmpl w:val="2CBC802A"/>
    <w:lvl w:ilvl="0" w:tplc="BD9A38A4">
      <w:numFmt w:val="bullet"/>
      <w:lvlText w:val="•"/>
      <w:lvlJc w:val="left"/>
      <w:pPr>
        <w:ind w:left="1417" w:hanging="708"/>
      </w:pPr>
      <w:rPr>
        <w:rFonts w:ascii="Times New Roman" w:eastAsiaTheme="minorEastAsia"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0677ED3"/>
    <w:multiLevelType w:val="hybridMultilevel"/>
    <w:tmpl w:val="6B1C7B0A"/>
    <w:lvl w:ilvl="0" w:tplc="BD9A38A4">
      <w:numFmt w:val="bullet"/>
      <w:lvlText w:val="•"/>
      <w:lvlJc w:val="left"/>
      <w:pPr>
        <w:ind w:left="1417" w:hanging="708"/>
      </w:pPr>
      <w:rPr>
        <w:rFonts w:ascii="Times New Roman" w:eastAsiaTheme="minorEastAsia"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0E10A85"/>
    <w:multiLevelType w:val="hybridMultilevel"/>
    <w:tmpl w:val="A86494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6A00CE3"/>
    <w:multiLevelType w:val="hybridMultilevel"/>
    <w:tmpl w:val="1A604B42"/>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19" w15:restartNumberingAfterBreak="0">
    <w:nsid w:val="5BEE7638"/>
    <w:multiLevelType w:val="hybridMultilevel"/>
    <w:tmpl w:val="387080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4277B44"/>
    <w:multiLevelType w:val="hybridMultilevel"/>
    <w:tmpl w:val="789ED1F0"/>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21" w15:restartNumberingAfterBreak="0">
    <w:nsid w:val="678F1863"/>
    <w:multiLevelType w:val="hybridMultilevel"/>
    <w:tmpl w:val="499657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93070C"/>
    <w:multiLevelType w:val="hybridMultilevel"/>
    <w:tmpl w:val="2AA2FF4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70E847F2"/>
    <w:multiLevelType w:val="hybridMultilevel"/>
    <w:tmpl w:val="8D46372C"/>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24" w15:restartNumberingAfterBreak="0">
    <w:nsid w:val="7BC87E13"/>
    <w:multiLevelType w:val="hybridMultilevel"/>
    <w:tmpl w:val="430216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1"/>
  </w:num>
  <w:num w:numId="2">
    <w:abstractNumId w:val="14"/>
  </w:num>
  <w:num w:numId="3">
    <w:abstractNumId w:val="22"/>
  </w:num>
  <w:num w:numId="4">
    <w:abstractNumId w:val="9"/>
  </w:num>
  <w:num w:numId="5">
    <w:abstractNumId w:val="7"/>
  </w:num>
  <w:num w:numId="6">
    <w:abstractNumId w:val="12"/>
  </w:num>
  <w:num w:numId="7">
    <w:abstractNumId w:val="1"/>
  </w:num>
  <w:num w:numId="8">
    <w:abstractNumId w:val="5"/>
  </w:num>
  <w:num w:numId="9">
    <w:abstractNumId w:val="6"/>
  </w:num>
  <w:num w:numId="10">
    <w:abstractNumId w:val="2"/>
  </w:num>
  <w:num w:numId="11">
    <w:abstractNumId w:val="13"/>
  </w:num>
  <w:num w:numId="12">
    <w:abstractNumId w:val="16"/>
  </w:num>
  <w:num w:numId="13">
    <w:abstractNumId w:val="15"/>
  </w:num>
  <w:num w:numId="14">
    <w:abstractNumId w:val="11"/>
  </w:num>
  <w:num w:numId="15">
    <w:abstractNumId w:val="4"/>
  </w:num>
  <w:num w:numId="16">
    <w:abstractNumId w:val="24"/>
  </w:num>
  <w:num w:numId="17">
    <w:abstractNumId w:val="8"/>
  </w:num>
  <w:num w:numId="18">
    <w:abstractNumId w:val="0"/>
  </w:num>
  <w:num w:numId="19">
    <w:abstractNumId w:val="17"/>
  </w:num>
  <w:num w:numId="20">
    <w:abstractNumId w:val="10"/>
  </w:num>
  <w:num w:numId="21">
    <w:abstractNumId w:val="23"/>
  </w:num>
  <w:num w:numId="22">
    <w:abstractNumId w:val="20"/>
  </w:num>
  <w:num w:numId="23">
    <w:abstractNumId w:val="18"/>
  </w:num>
  <w:num w:numId="24">
    <w:abstractNumId w:val="19"/>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742"/>
    <w:rsid w:val="00011722"/>
    <w:rsid w:val="000400BF"/>
    <w:rsid w:val="0008424C"/>
    <w:rsid w:val="000871DB"/>
    <w:rsid w:val="000A76AC"/>
    <w:rsid w:val="000C3448"/>
    <w:rsid w:val="000C567B"/>
    <w:rsid w:val="0011691D"/>
    <w:rsid w:val="001220B7"/>
    <w:rsid w:val="00160000"/>
    <w:rsid w:val="00174375"/>
    <w:rsid w:val="001A0B60"/>
    <w:rsid w:val="001A10DC"/>
    <w:rsid w:val="001A19AA"/>
    <w:rsid w:val="001A611F"/>
    <w:rsid w:val="001B7937"/>
    <w:rsid w:val="001C3FA0"/>
    <w:rsid w:val="001D2376"/>
    <w:rsid w:val="001D432B"/>
    <w:rsid w:val="001D6757"/>
    <w:rsid w:val="00204342"/>
    <w:rsid w:val="002509A4"/>
    <w:rsid w:val="0025734D"/>
    <w:rsid w:val="002652A8"/>
    <w:rsid w:val="00271C5D"/>
    <w:rsid w:val="002D5F7B"/>
    <w:rsid w:val="002F0475"/>
    <w:rsid w:val="0030487E"/>
    <w:rsid w:val="00332838"/>
    <w:rsid w:val="0033536E"/>
    <w:rsid w:val="00341A35"/>
    <w:rsid w:val="00343C51"/>
    <w:rsid w:val="00353A55"/>
    <w:rsid w:val="0035578A"/>
    <w:rsid w:val="00394FEC"/>
    <w:rsid w:val="003A2F98"/>
    <w:rsid w:val="003B2121"/>
    <w:rsid w:val="003C3B2C"/>
    <w:rsid w:val="003C6138"/>
    <w:rsid w:val="00404307"/>
    <w:rsid w:val="004047CE"/>
    <w:rsid w:val="00421370"/>
    <w:rsid w:val="004331E6"/>
    <w:rsid w:val="00445E4D"/>
    <w:rsid w:val="0045025B"/>
    <w:rsid w:val="004503CB"/>
    <w:rsid w:val="00450C4B"/>
    <w:rsid w:val="0045390F"/>
    <w:rsid w:val="00454D54"/>
    <w:rsid w:val="00464CE5"/>
    <w:rsid w:val="004974C8"/>
    <w:rsid w:val="004A6491"/>
    <w:rsid w:val="004A6A61"/>
    <w:rsid w:val="004C78BE"/>
    <w:rsid w:val="004D3647"/>
    <w:rsid w:val="004E32F1"/>
    <w:rsid w:val="00507875"/>
    <w:rsid w:val="00530AA6"/>
    <w:rsid w:val="00542EF1"/>
    <w:rsid w:val="00547241"/>
    <w:rsid w:val="00550A78"/>
    <w:rsid w:val="005613EC"/>
    <w:rsid w:val="00565C5F"/>
    <w:rsid w:val="00590FA5"/>
    <w:rsid w:val="00595A62"/>
    <w:rsid w:val="005D27C9"/>
    <w:rsid w:val="005F1C5D"/>
    <w:rsid w:val="006340FF"/>
    <w:rsid w:val="00641095"/>
    <w:rsid w:val="00682E62"/>
    <w:rsid w:val="00685A03"/>
    <w:rsid w:val="0069613F"/>
    <w:rsid w:val="006B746A"/>
    <w:rsid w:val="00712DBF"/>
    <w:rsid w:val="0074373F"/>
    <w:rsid w:val="007450CE"/>
    <w:rsid w:val="007638F8"/>
    <w:rsid w:val="007825F7"/>
    <w:rsid w:val="00784C05"/>
    <w:rsid w:val="007A7FD2"/>
    <w:rsid w:val="007B10D9"/>
    <w:rsid w:val="007C750C"/>
    <w:rsid w:val="007D533A"/>
    <w:rsid w:val="007E6285"/>
    <w:rsid w:val="007E6D35"/>
    <w:rsid w:val="00817253"/>
    <w:rsid w:val="00842CE8"/>
    <w:rsid w:val="008471D3"/>
    <w:rsid w:val="00853818"/>
    <w:rsid w:val="00855515"/>
    <w:rsid w:val="00871A84"/>
    <w:rsid w:val="008A557F"/>
    <w:rsid w:val="008F0CAB"/>
    <w:rsid w:val="008F6D72"/>
    <w:rsid w:val="00911876"/>
    <w:rsid w:val="00923A70"/>
    <w:rsid w:val="0093420D"/>
    <w:rsid w:val="009610DB"/>
    <w:rsid w:val="00965924"/>
    <w:rsid w:val="00977E89"/>
    <w:rsid w:val="009811CA"/>
    <w:rsid w:val="009A7CBA"/>
    <w:rsid w:val="009E6E60"/>
    <w:rsid w:val="009F07EE"/>
    <w:rsid w:val="00A13E33"/>
    <w:rsid w:val="00A164A9"/>
    <w:rsid w:val="00A26338"/>
    <w:rsid w:val="00A33C49"/>
    <w:rsid w:val="00A45A6A"/>
    <w:rsid w:val="00A51A9F"/>
    <w:rsid w:val="00A6183F"/>
    <w:rsid w:val="00A62FDB"/>
    <w:rsid w:val="00A906A8"/>
    <w:rsid w:val="00A92B6E"/>
    <w:rsid w:val="00A937F7"/>
    <w:rsid w:val="00A95D51"/>
    <w:rsid w:val="00AA6820"/>
    <w:rsid w:val="00AB181F"/>
    <w:rsid w:val="00AB711C"/>
    <w:rsid w:val="00AB76F9"/>
    <w:rsid w:val="00AE34B2"/>
    <w:rsid w:val="00AF713D"/>
    <w:rsid w:val="00B06FF2"/>
    <w:rsid w:val="00B504E4"/>
    <w:rsid w:val="00B53F00"/>
    <w:rsid w:val="00B81970"/>
    <w:rsid w:val="00B947FE"/>
    <w:rsid w:val="00BC6391"/>
    <w:rsid w:val="00BD4271"/>
    <w:rsid w:val="00BF2E8E"/>
    <w:rsid w:val="00C00906"/>
    <w:rsid w:val="00C04514"/>
    <w:rsid w:val="00C13BC0"/>
    <w:rsid w:val="00C2459D"/>
    <w:rsid w:val="00C4438E"/>
    <w:rsid w:val="00C85742"/>
    <w:rsid w:val="00CB33C7"/>
    <w:rsid w:val="00CC22F4"/>
    <w:rsid w:val="00CE24DD"/>
    <w:rsid w:val="00CE295C"/>
    <w:rsid w:val="00D1280E"/>
    <w:rsid w:val="00D33D49"/>
    <w:rsid w:val="00D501D3"/>
    <w:rsid w:val="00D573E3"/>
    <w:rsid w:val="00D72416"/>
    <w:rsid w:val="00D76B26"/>
    <w:rsid w:val="00D9791E"/>
    <w:rsid w:val="00DA5CA3"/>
    <w:rsid w:val="00DB55FA"/>
    <w:rsid w:val="00DB5853"/>
    <w:rsid w:val="00DD18AB"/>
    <w:rsid w:val="00DD7572"/>
    <w:rsid w:val="00DE4677"/>
    <w:rsid w:val="00E11983"/>
    <w:rsid w:val="00E23945"/>
    <w:rsid w:val="00E27D9B"/>
    <w:rsid w:val="00E77567"/>
    <w:rsid w:val="00E86DE2"/>
    <w:rsid w:val="00EA4E8D"/>
    <w:rsid w:val="00EB737C"/>
    <w:rsid w:val="00ED0DC8"/>
    <w:rsid w:val="00EE3B19"/>
    <w:rsid w:val="00EF4463"/>
    <w:rsid w:val="00F257D6"/>
    <w:rsid w:val="00F52502"/>
    <w:rsid w:val="00F86E30"/>
    <w:rsid w:val="00FB4003"/>
    <w:rsid w:val="00FD4B6D"/>
    <w:rsid w:val="00FF5257"/>
    <w:rsid w:val="00FF604C"/>
    <w:rsid w:val="00FF75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0E05F"/>
  <w15:docId w15:val="{8E3E122C-821A-4EB3-AA5E-ABD1874A9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5742"/>
    <w:pPr>
      <w:spacing w:after="120" w:line="360" w:lineRule="auto"/>
      <w:ind w:firstLine="709"/>
      <w:jc w:val="both"/>
    </w:pPr>
    <w:rPr>
      <w:rFonts w:ascii="Times New Roman" w:eastAsiaTheme="minorEastAsia" w:hAnsi="Times New Roman" w:cs="Times New Roman"/>
      <w:sz w:val="24"/>
      <w:lang w:eastAsia="pl-PL"/>
    </w:rPr>
  </w:style>
  <w:style w:type="paragraph" w:styleId="Nagwek1">
    <w:name w:val="heading 1"/>
    <w:basedOn w:val="Normalny"/>
    <w:next w:val="Normalny"/>
    <w:link w:val="Nagwek1Znak"/>
    <w:uiPriority w:val="9"/>
    <w:qFormat/>
    <w:rsid w:val="00C8574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C8574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A92B6E"/>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Nagwek4">
    <w:name w:val="heading 4"/>
    <w:basedOn w:val="Normalny"/>
    <w:next w:val="Normalny"/>
    <w:link w:val="Nagwek4Znak"/>
    <w:uiPriority w:val="9"/>
    <w:unhideWhenUsed/>
    <w:qFormat/>
    <w:rsid w:val="002652A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C85742"/>
    <w:rPr>
      <w:sz w:val="16"/>
      <w:szCs w:val="16"/>
    </w:rPr>
  </w:style>
  <w:style w:type="paragraph" w:styleId="Tekstkomentarza">
    <w:name w:val="annotation text"/>
    <w:basedOn w:val="Normalny"/>
    <w:link w:val="TekstkomentarzaZnak"/>
    <w:uiPriority w:val="99"/>
    <w:semiHidden/>
    <w:unhideWhenUsed/>
    <w:rsid w:val="00C85742"/>
    <w:rPr>
      <w:sz w:val="20"/>
      <w:szCs w:val="20"/>
    </w:rPr>
  </w:style>
  <w:style w:type="character" w:customStyle="1" w:styleId="TekstkomentarzaZnak">
    <w:name w:val="Tekst komentarza Znak"/>
    <w:basedOn w:val="Domylnaczcionkaakapitu"/>
    <w:link w:val="Tekstkomentarza"/>
    <w:uiPriority w:val="99"/>
    <w:semiHidden/>
    <w:rsid w:val="00C85742"/>
    <w:rPr>
      <w:rFonts w:ascii="Times New Roman" w:eastAsiaTheme="minorEastAsia" w:hAnsi="Times New Roman" w:cs="Times New Roman"/>
      <w:sz w:val="20"/>
      <w:szCs w:val="20"/>
      <w:lang w:eastAsia="pl-PL"/>
    </w:rPr>
  </w:style>
  <w:style w:type="paragraph" w:styleId="Tekstdymka">
    <w:name w:val="Balloon Text"/>
    <w:basedOn w:val="Normalny"/>
    <w:link w:val="TekstdymkaZnak"/>
    <w:uiPriority w:val="99"/>
    <w:semiHidden/>
    <w:unhideWhenUsed/>
    <w:rsid w:val="00C85742"/>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5742"/>
    <w:rPr>
      <w:rFonts w:ascii="Segoe UI" w:eastAsiaTheme="minorEastAsia" w:hAnsi="Segoe UI" w:cs="Segoe UI"/>
      <w:sz w:val="18"/>
      <w:szCs w:val="18"/>
      <w:lang w:eastAsia="pl-PL"/>
    </w:rPr>
  </w:style>
  <w:style w:type="paragraph" w:styleId="Tekstprzypisukocowego">
    <w:name w:val="endnote text"/>
    <w:basedOn w:val="Normalny"/>
    <w:link w:val="TekstprzypisukocowegoZnak"/>
    <w:uiPriority w:val="99"/>
    <w:semiHidden/>
    <w:unhideWhenUsed/>
    <w:rsid w:val="00C85742"/>
    <w:rPr>
      <w:sz w:val="20"/>
      <w:szCs w:val="20"/>
    </w:rPr>
  </w:style>
  <w:style w:type="character" w:customStyle="1" w:styleId="TekstprzypisukocowegoZnak">
    <w:name w:val="Tekst przypisu końcowego Znak"/>
    <w:basedOn w:val="Domylnaczcionkaakapitu"/>
    <w:link w:val="Tekstprzypisukocowego"/>
    <w:uiPriority w:val="99"/>
    <w:semiHidden/>
    <w:rsid w:val="00C85742"/>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C85742"/>
    <w:rPr>
      <w:vertAlign w:val="superscript"/>
    </w:rPr>
  </w:style>
  <w:style w:type="paragraph" w:styleId="Akapitzlist">
    <w:name w:val="List Paragraph"/>
    <w:basedOn w:val="Normalny"/>
    <w:uiPriority w:val="34"/>
    <w:qFormat/>
    <w:rsid w:val="00C85742"/>
    <w:pPr>
      <w:ind w:left="720"/>
      <w:contextualSpacing/>
    </w:pPr>
  </w:style>
  <w:style w:type="character" w:customStyle="1" w:styleId="Nagwek1Znak">
    <w:name w:val="Nagłówek 1 Znak"/>
    <w:basedOn w:val="Domylnaczcionkaakapitu"/>
    <w:link w:val="Nagwek1"/>
    <w:uiPriority w:val="9"/>
    <w:rsid w:val="00C85742"/>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uiPriority w:val="9"/>
    <w:rsid w:val="00C85742"/>
    <w:rPr>
      <w:rFonts w:asciiTheme="majorHAnsi" w:eastAsiaTheme="majorEastAsia" w:hAnsiTheme="majorHAnsi" w:cstheme="majorBidi"/>
      <w:color w:val="2E74B5" w:themeColor="accent1" w:themeShade="BF"/>
      <w:sz w:val="26"/>
      <w:szCs w:val="26"/>
      <w:lang w:eastAsia="pl-PL"/>
    </w:rPr>
  </w:style>
  <w:style w:type="table" w:styleId="Tabela-Siatka">
    <w:name w:val="Table Grid"/>
    <w:basedOn w:val="Standardowy"/>
    <w:uiPriority w:val="39"/>
    <w:rsid w:val="008471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2633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26338"/>
    <w:rPr>
      <w:rFonts w:asciiTheme="majorHAnsi" w:eastAsiaTheme="majorEastAsia" w:hAnsiTheme="majorHAnsi" w:cstheme="majorBidi"/>
      <w:spacing w:val="-10"/>
      <w:kern w:val="28"/>
      <w:sz w:val="56"/>
      <w:szCs w:val="56"/>
      <w:lang w:eastAsia="pl-PL"/>
    </w:rPr>
  </w:style>
  <w:style w:type="character" w:styleId="Hipercze">
    <w:name w:val="Hyperlink"/>
    <w:basedOn w:val="Domylnaczcionkaakapitu"/>
    <w:uiPriority w:val="99"/>
    <w:unhideWhenUsed/>
    <w:rsid w:val="00855515"/>
    <w:rPr>
      <w:color w:val="0563C1" w:themeColor="hyperlink"/>
      <w:u w:val="single"/>
    </w:rPr>
  </w:style>
  <w:style w:type="character" w:customStyle="1" w:styleId="Nagwek3Znak">
    <w:name w:val="Nagłówek 3 Znak"/>
    <w:basedOn w:val="Domylnaczcionkaakapitu"/>
    <w:link w:val="Nagwek3"/>
    <w:uiPriority w:val="9"/>
    <w:rsid w:val="00A92B6E"/>
    <w:rPr>
      <w:rFonts w:asciiTheme="majorHAnsi" w:eastAsiaTheme="majorEastAsia" w:hAnsiTheme="majorHAnsi" w:cstheme="majorBidi"/>
      <w:color w:val="1F4D78" w:themeColor="accent1" w:themeShade="7F"/>
      <w:sz w:val="24"/>
      <w:szCs w:val="24"/>
      <w:lang w:eastAsia="pl-PL"/>
    </w:rPr>
  </w:style>
  <w:style w:type="paragraph" w:styleId="Tekstprzypisudolnego">
    <w:name w:val="footnote text"/>
    <w:basedOn w:val="Normalny"/>
    <w:link w:val="TekstprzypisudolnegoZnak"/>
    <w:uiPriority w:val="99"/>
    <w:semiHidden/>
    <w:unhideWhenUsed/>
    <w:rsid w:val="007A7FD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A7FD2"/>
    <w:rPr>
      <w:rFonts w:ascii="Times New Roman" w:eastAsiaTheme="minorEastAsia" w:hAnsi="Times New Roman" w:cs="Times New Roman"/>
      <w:sz w:val="20"/>
      <w:szCs w:val="20"/>
      <w:lang w:eastAsia="pl-PL"/>
    </w:rPr>
  </w:style>
  <w:style w:type="character" w:styleId="Odwoanieprzypisudolnego">
    <w:name w:val="footnote reference"/>
    <w:basedOn w:val="Domylnaczcionkaakapitu"/>
    <w:uiPriority w:val="99"/>
    <w:semiHidden/>
    <w:unhideWhenUsed/>
    <w:rsid w:val="007A7FD2"/>
    <w:rPr>
      <w:vertAlign w:val="superscript"/>
    </w:rPr>
  </w:style>
  <w:style w:type="character" w:customStyle="1" w:styleId="Nagwek4Znak">
    <w:name w:val="Nagłówek 4 Znak"/>
    <w:basedOn w:val="Domylnaczcionkaakapitu"/>
    <w:link w:val="Nagwek4"/>
    <w:uiPriority w:val="9"/>
    <w:rsid w:val="002652A8"/>
    <w:rPr>
      <w:rFonts w:asciiTheme="majorHAnsi" w:eastAsiaTheme="majorEastAsia" w:hAnsiTheme="majorHAnsi" w:cstheme="majorBidi"/>
      <w:i/>
      <w:iCs/>
      <w:color w:val="2E74B5" w:themeColor="accent1" w:themeShade="BF"/>
      <w:sz w:val="24"/>
      <w:lang w:eastAsia="pl-PL"/>
    </w:rPr>
  </w:style>
  <w:style w:type="paragraph" w:styleId="Nagwek">
    <w:name w:val="header"/>
    <w:basedOn w:val="Normalny"/>
    <w:link w:val="NagwekZnak"/>
    <w:uiPriority w:val="99"/>
    <w:unhideWhenUsed/>
    <w:rsid w:val="008F6D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6D72"/>
    <w:rPr>
      <w:rFonts w:ascii="Times New Roman" w:eastAsiaTheme="minorEastAsia" w:hAnsi="Times New Roman" w:cs="Times New Roman"/>
      <w:sz w:val="24"/>
      <w:lang w:eastAsia="pl-PL"/>
    </w:rPr>
  </w:style>
  <w:style w:type="paragraph" w:styleId="Stopka">
    <w:name w:val="footer"/>
    <w:basedOn w:val="Normalny"/>
    <w:link w:val="StopkaZnak"/>
    <w:uiPriority w:val="99"/>
    <w:unhideWhenUsed/>
    <w:rsid w:val="008F6D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6D72"/>
    <w:rPr>
      <w:rFonts w:ascii="Times New Roman" w:eastAsiaTheme="minorEastAsia" w:hAnsi="Times New Roman" w:cs="Times New Roman"/>
      <w:sz w:val="24"/>
      <w:lang w:eastAsia="pl-PL"/>
    </w:rPr>
  </w:style>
  <w:style w:type="paragraph" w:styleId="Nagwekspisutreci">
    <w:name w:val="TOC Heading"/>
    <w:basedOn w:val="Nagwek1"/>
    <w:next w:val="Normalny"/>
    <w:uiPriority w:val="39"/>
    <w:unhideWhenUsed/>
    <w:qFormat/>
    <w:rsid w:val="008F6D72"/>
    <w:pPr>
      <w:spacing w:after="0" w:line="259" w:lineRule="auto"/>
      <w:ind w:firstLine="0"/>
      <w:jc w:val="left"/>
      <w:outlineLvl w:val="9"/>
    </w:pPr>
  </w:style>
  <w:style w:type="paragraph" w:styleId="Spistreci1">
    <w:name w:val="toc 1"/>
    <w:basedOn w:val="Normalny"/>
    <w:next w:val="Normalny"/>
    <w:autoRedefine/>
    <w:uiPriority w:val="39"/>
    <w:unhideWhenUsed/>
    <w:rsid w:val="008F6D72"/>
    <w:pPr>
      <w:spacing w:after="100"/>
    </w:pPr>
  </w:style>
  <w:style w:type="paragraph" w:styleId="Spistreci2">
    <w:name w:val="toc 2"/>
    <w:basedOn w:val="Normalny"/>
    <w:next w:val="Normalny"/>
    <w:autoRedefine/>
    <w:uiPriority w:val="39"/>
    <w:unhideWhenUsed/>
    <w:rsid w:val="008F6D72"/>
    <w:pPr>
      <w:tabs>
        <w:tab w:val="left" w:pos="880"/>
        <w:tab w:val="right" w:leader="dot" w:pos="9062"/>
      </w:tabs>
      <w:spacing w:after="100"/>
      <w:ind w:left="240"/>
    </w:pPr>
  </w:style>
  <w:style w:type="paragraph" w:styleId="Spistreci3">
    <w:name w:val="toc 3"/>
    <w:basedOn w:val="Normalny"/>
    <w:next w:val="Normalny"/>
    <w:autoRedefine/>
    <w:uiPriority w:val="39"/>
    <w:unhideWhenUsed/>
    <w:rsid w:val="008F6D72"/>
    <w:pPr>
      <w:spacing w:after="100"/>
      <w:ind w:left="480"/>
    </w:pPr>
  </w:style>
  <w:style w:type="paragraph" w:styleId="Tematkomentarza">
    <w:name w:val="annotation subject"/>
    <w:basedOn w:val="Tekstkomentarza"/>
    <w:next w:val="Tekstkomentarza"/>
    <w:link w:val="TematkomentarzaZnak"/>
    <w:uiPriority w:val="99"/>
    <w:semiHidden/>
    <w:unhideWhenUsed/>
    <w:rsid w:val="00E77567"/>
    <w:pPr>
      <w:spacing w:line="240" w:lineRule="auto"/>
    </w:pPr>
    <w:rPr>
      <w:b/>
      <w:bCs/>
    </w:rPr>
  </w:style>
  <w:style w:type="character" w:customStyle="1" w:styleId="TematkomentarzaZnak">
    <w:name w:val="Temat komentarza Znak"/>
    <w:basedOn w:val="TekstkomentarzaZnak"/>
    <w:link w:val="Tematkomentarza"/>
    <w:uiPriority w:val="99"/>
    <w:semiHidden/>
    <w:rsid w:val="00E77567"/>
    <w:rPr>
      <w:rFonts w:ascii="Times New Roman" w:eastAsiaTheme="minorEastAsia"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48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bapco.com/contact/bgn/"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enchmarks.ul.com/services/public-sector-procuremen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E4F71DE97CC04886451467B1BEF052" ma:contentTypeVersion="13" ma:contentTypeDescription="Create a new document." ma:contentTypeScope="" ma:versionID="3bd2678949fda587e26072a71d315c4e">
  <xsd:schema xmlns:xsd="http://www.w3.org/2001/XMLSchema" xmlns:xs="http://www.w3.org/2001/XMLSchema" xmlns:p="http://schemas.microsoft.com/office/2006/metadata/properties" xmlns:ns3="ff65183b-ce1b-4a3f-80c1-f893b1e00171" xmlns:ns4="006471a6-3bce-4102-88f1-b3af5d30896e" targetNamespace="http://schemas.microsoft.com/office/2006/metadata/properties" ma:root="true" ma:fieldsID="a1309ebba9cb5a5eb7dc941b27938d3a" ns3:_="" ns4:_="">
    <xsd:import namespace="ff65183b-ce1b-4a3f-80c1-f893b1e00171"/>
    <xsd:import namespace="006471a6-3bce-4102-88f1-b3af5d30896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65183b-ce1b-4a3f-80c1-f893b1e001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6471a6-3bce-4102-88f1-b3af5d30896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E5C2F-5641-4FA7-90B2-4F8561C918AE}">
  <ds:schemaRefs>
    <ds:schemaRef ds:uri="http://schemas.microsoft.com/sharepoint/v3/contenttype/forms"/>
  </ds:schemaRefs>
</ds:datastoreItem>
</file>

<file path=customXml/itemProps2.xml><?xml version="1.0" encoding="utf-8"?>
<ds:datastoreItem xmlns:ds="http://schemas.openxmlformats.org/officeDocument/2006/customXml" ds:itemID="{38172147-DB31-4A65-BC35-E4BE53BF8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65183b-ce1b-4a3f-80c1-f893b1e00171"/>
    <ds:schemaRef ds:uri="006471a6-3bce-4102-88f1-b3af5d3089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29CED3-DF28-4153-883A-44F7CD0235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F43F3B-6C58-46BE-BC7E-555F4DAF2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35</Pages>
  <Words>8353</Words>
  <Characters>50119</Characters>
  <Application>Microsoft Office Word</Application>
  <DocSecurity>0</DocSecurity>
  <Lines>417</Lines>
  <Paragraphs>116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Szczepanik, Kazimierz</dc:creator>
  <cp:lastModifiedBy>Trybusz Michał</cp:lastModifiedBy>
  <cp:revision>6</cp:revision>
  <dcterms:created xsi:type="dcterms:W3CDTF">2021-01-22T12:26:00Z</dcterms:created>
  <dcterms:modified xsi:type="dcterms:W3CDTF">2021-01-22T14:29:00Z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cb76b2-10b8-4fe1-93d4-2202842406cd_Enabled">
    <vt:lpwstr>True</vt:lpwstr>
  </property>
  <property fmtid="{D5CDD505-2E9C-101B-9397-08002B2CF9AE}" pid="3" name="MSIP_Label_17cb76b2-10b8-4fe1-93d4-2202842406cd_SiteId">
    <vt:lpwstr>945c199a-83a2-4e80-9f8c-5a91be5752dd</vt:lpwstr>
  </property>
  <property fmtid="{D5CDD505-2E9C-101B-9397-08002B2CF9AE}" pid="4" name="MSIP_Label_17cb76b2-10b8-4fe1-93d4-2202842406cd_Owner">
    <vt:lpwstr>Krzysztof_Karlewski@Dell.com</vt:lpwstr>
  </property>
  <property fmtid="{D5CDD505-2E9C-101B-9397-08002B2CF9AE}" pid="5" name="MSIP_Label_17cb76b2-10b8-4fe1-93d4-2202842406cd_SetDate">
    <vt:lpwstr>2021-01-07T10:45:22.7162477Z</vt:lpwstr>
  </property>
  <property fmtid="{D5CDD505-2E9C-101B-9397-08002B2CF9AE}" pid="6" name="MSIP_Label_17cb76b2-10b8-4fe1-93d4-2202842406cd_Name">
    <vt:lpwstr>External Public</vt:lpwstr>
  </property>
  <property fmtid="{D5CDD505-2E9C-101B-9397-08002B2CF9AE}" pid="7" name="MSIP_Label_17cb76b2-10b8-4fe1-93d4-2202842406cd_Application">
    <vt:lpwstr>Microsoft Azure Information Protection</vt:lpwstr>
  </property>
  <property fmtid="{D5CDD505-2E9C-101B-9397-08002B2CF9AE}" pid="8" name="MSIP_Label_17cb76b2-10b8-4fe1-93d4-2202842406cd_ActionId">
    <vt:lpwstr>a42a3116-84ef-4438-9b1d-92509050325c</vt:lpwstr>
  </property>
  <property fmtid="{D5CDD505-2E9C-101B-9397-08002B2CF9AE}" pid="9" name="MSIP_Label_17cb76b2-10b8-4fe1-93d4-2202842406cd_Extended_MSFT_Method">
    <vt:lpwstr>Manual</vt:lpwstr>
  </property>
  <property fmtid="{D5CDD505-2E9C-101B-9397-08002B2CF9AE}" pid="10" name="aiplabel">
    <vt:lpwstr>External Public</vt:lpwstr>
  </property>
  <property fmtid="{D5CDD505-2E9C-101B-9397-08002B2CF9AE}" pid="11" name="ContentTypeId">
    <vt:lpwstr>0x0101002FE4F71DE97CC04886451467B1BEF052</vt:lpwstr>
  </property>
</Properties>
</file>